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8B4FA4A" w14:textId="77777777">
        <w:tc>
          <w:tcPr>
            <w:tcW w:w="9212" w:type="dxa"/>
          </w:tcPr>
          <w:p w14:paraId="2754BBCA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Haben Sie externe Hilfestellungen 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6BD9C5B6" w14:textId="77777777">
        <w:tc>
          <w:tcPr>
            <w:tcW w:w="9212" w:type="dxa"/>
          </w:tcPr>
          <w:p w14:paraId="51F2D4C7" w14:textId="5EFCA2FF" w:rsidR="008E6675" w:rsidRPr="005638EB" w:rsidRDefault="00C370CD" w:rsidP="00AD6D12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</w:t>
            </w:r>
            <w:r>
              <w:rPr>
                <w:rFonts w:ascii="Arial Narrow" w:hAnsi="Arial Narrow"/>
                <w:sz w:val="22"/>
              </w:rPr>
              <w:t>die Gesellschaft für Pädiatrische Onkologie und Hämatologie. (GPOH</w:t>
            </w:r>
            <w:r w:rsidR="00AD6D12">
              <w:rPr>
                <w:rFonts w:ascii="Arial Narrow" w:hAnsi="Arial Narrow"/>
                <w:sz w:val="22"/>
              </w:rPr>
              <w:t xml:space="preserve">) </w:t>
            </w:r>
            <w:r w:rsidRPr="005638EB">
              <w:rPr>
                <w:rFonts w:ascii="Arial Narrow" w:hAnsi="Arial Narrow"/>
                <w:sz w:val="22"/>
              </w:rPr>
              <w:t>vorformuliert</w:t>
            </w:r>
            <w:r w:rsidRPr="0019647F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C82B4C8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CEE3666" w14:textId="77777777">
        <w:tc>
          <w:tcPr>
            <w:tcW w:w="9212" w:type="dxa"/>
          </w:tcPr>
          <w:p w14:paraId="5D5E123B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1.1 Angefragte Untersuchungs- und Behandlungsmethode (Kurzbezeichnung)</w:t>
            </w:r>
          </w:p>
        </w:tc>
      </w:tr>
      <w:tr w:rsidR="008E6675" w:rsidRPr="007F255B" w14:paraId="65FCE204" w14:textId="77777777">
        <w:tc>
          <w:tcPr>
            <w:tcW w:w="9212" w:type="dxa"/>
          </w:tcPr>
          <w:p w14:paraId="59A9E682" w14:textId="77777777" w:rsidR="001842C1" w:rsidRPr="007F255B" w:rsidRDefault="00147873" w:rsidP="00147873">
            <w:pPr>
              <w:rPr>
                <w:rFonts w:ascii="Arial Narrow" w:hAnsi="Arial Narrow"/>
                <w:color w:val="00B050"/>
                <w:sz w:val="22"/>
              </w:rPr>
            </w:pPr>
            <w:r w:rsidRPr="00DE6F3D">
              <w:rPr>
                <w:rFonts w:ascii="Arial Narrow" w:hAnsi="Arial Narrow"/>
                <w:sz w:val="22"/>
              </w:rPr>
              <w:t>Gabe von CAR T-Zellen</w:t>
            </w:r>
            <w:r>
              <w:rPr>
                <w:rFonts w:ascii="Arial Narrow" w:hAnsi="Arial Narrow"/>
                <w:sz w:val="22"/>
              </w:rPr>
              <w:t xml:space="preserve"> zur Behandlung von hämatologischen Erkrankungen</w:t>
            </w:r>
          </w:p>
        </w:tc>
      </w:tr>
    </w:tbl>
    <w:p w14:paraId="317796A9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A599018" w14:textId="77777777">
        <w:tc>
          <w:tcPr>
            <w:tcW w:w="9212" w:type="dxa"/>
          </w:tcPr>
          <w:p w14:paraId="53DB97C0" w14:textId="77777777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1.2 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86597E0" w14:textId="77777777">
        <w:tc>
          <w:tcPr>
            <w:tcW w:w="9212" w:type="dxa"/>
          </w:tcPr>
          <w:p w14:paraId="48F9BF69" w14:textId="77777777" w:rsidR="00374EF5" w:rsidRDefault="00374EF5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CAR-T Zellen als Eigenprodukte von Zentren (aus eigenen GMP-konformen </w:t>
            </w:r>
            <w:proofErr w:type="spellStart"/>
            <w:r>
              <w:rPr>
                <w:rFonts w:ascii="Arial Narrow" w:hAnsi="Arial Narrow"/>
                <w:sz w:val="22"/>
              </w:rPr>
              <w:t>Herstellungen</w:t>
            </w:r>
            <w:proofErr w:type="spellEnd"/>
            <w:r>
              <w:rPr>
                <w:rFonts w:ascii="Arial Narrow" w:hAnsi="Arial Narrow"/>
                <w:sz w:val="22"/>
              </w:rPr>
              <w:t>)</w:t>
            </w:r>
          </w:p>
          <w:p w14:paraId="3030FF0E" w14:textId="77777777" w:rsidR="008E6675" w:rsidRDefault="00DE7008" w:rsidP="005638EB">
            <w:pPr>
              <w:rPr>
                <w:rFonts w:ascii="Arial Narrow" w:hAnsi="Arial Narrow"/>
                <w:sz w:val="22"/>
              </w:rPr>
            </w:pPr>
            <w:r w:rsidRPr="00F15F0B">
              <w:rPr>
                <w:rFonts w:ascii="Arial Narrow" w:hAnsi="Arial Narrow"/>
                <w:sz w:val="22"/>
              </w:rPr>
              <w:t xml:space="preserve">Zelluläre Immuntherapie mit </w:t>
            </w:r>
            <w:proofErr w:type="spellStart"/>
            <w:r w:rsidRPr="00F15F0B">
              <w:rPr>
                <w:rFonts w:ascii="Arial Narrow" w:hAnsi="Arial Narrow"/>
                <w:sz w:val="22"/>
              </w:rPr>
              <w:t>chimären</w:t>
            </w:r>
            <w:proofErr w:type="spellEnd"/>
            <w:r w:rsidRPr="00F15F0B">
              <w:rPr>
                <w:rFonts w:ascii="Arial Narrow" w:hAnsi="Arial Narrow"/>
                <w:sz w:val="22"/>
              </w:rPr>
              <w:t>, Antigenrezeptor modifizierten T-Zellen (CAR T-Zell-Therapie)</w:t>
            </w:r>
          </w:p>
          <w:p w14:paraId="62B582BE" w14:textId="77777777" w:rsidR="00DE7008" w:rsidRPr="00E60E43" w:rsidRDefault="001842C1" w:rsidP="00FE1E35">
            <w:r>
              <w:rPr>
                <w:rFonts w:ascii="Arial Narrow" w:hAnsi="Arial Narrow"/>
                <w:sz w:val="22"/>
              </w:rPr>
              <w:t xml:space="preserve">Übertragung </w:t>
            </w:r>
            <w:r w:rsidRPr="005E30AE">
              <w:rPr>
                <w:rFonts w:ascii="Arial Narrow" w:hAnsi="Arial Narrow"/>
                <w:sz w:val="22"/>
              </w:rPr>
              <w:t>von CAR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E30AE">
              <w:rPr>
                <w:rFonts w:ascii="Arial Narrow" w:hAnsi="Arial Narrow"/>
                <w:sz w:val="22"/>
              </w:rPr>
              <w:t xml:space="preserve">T-Zellen (T-Zellen mit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chimärem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Antigenrezeptor</w:t>
            </w:r>
            <w:r>
              <w:t>)</w:t>
            </w:r>
          </w:p>
        </w:tc>
      </w:tr>
    </w:tbl>
    <w:p w14:paraId="1C8058F3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112EB1BA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D53" w14:textId="77777777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1.3</w:t>
            </w:r>
            <w:r w:rsidRPr="004C4F82">
              <w:rPr>
                <w:rFonts w:ascii="Arial Narrow" w:hAnsi="Arial Narrow"/>
                <w:b/>
                <w:sz w:val="22"/>
              </w:rPr>
              <w:t xml:space="preserve"> 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E60E43" w14:paraId="04C02BDB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55E" w14:textId="77777777" w:rsidR="004C4F82" w:rsidRPr="00BB0A8F" w:rsidRDefault="00E60E43" w:rsidP="004C4F82">
            <w:pPr>
              <w:rPr>
                <w:rFonts w:ascii="Arial Narrow" w:hAnsi="Arial Narrow"/>
                <w:sz w:val="22"/>
              </w:rPr>
            </w:pPr>
            <w:r w:rsidRPr="00BB0A8F">
              <w:rPr>
                <w:rFonts w:ascii="Arial Narrow" w:hAnsi="Arial Narrow"/>
                <w:sz w:val="22"/>
              </w:rPr>
              <w:t>Nein</w:t>
            </w:r>
          </w:p>
        </w:tc>
      </w:tr>
    </w:tbl>
    <w:p w14:paraId="5B5F28D4" w14:textId="77777777" w:rsidR="008E6675" w:rsidRPr="00E60E4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7273F5F1" w14:textId="77777777" w:rsidTr="002F7726">
        <w:tc>
          <w:tcPr>
            <w:tcW w:w="9212" w:type="dxa"/>
          </w:tcPr>
          <w:p w14:paraId="6CAE36AA" w14:textId="1FB69DA2" w:rsidR="00492AB4" w:rsidRPr="005638EB" w:rsidRDefault="004C4F82" w:rsidP="00C12787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1.4 </w:t>
            </w:r>
            <w:r w:rsidR="00492AB4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>
              <w:rPr>
                <w:rFonts w:ascii="Arial Narrow" w:hAnsi="Arial Narrow"/>
                <w:b/>
                <w:sz w:val="22"/>
              </w:rPr>
              <w:t>nhaus bereits vor dem 01.01.</w:t>
            </w:r>
            <w:r w:rsidR="00C12787">
              <w:rPr>
                <w:rFonts w:ascii="Arial Narrow" w:hAnsi="Arial Narrow"/>
                <w:b/>
                <w:sz w:val="22"/>
              </w:rPr>
              <w:t xml:space="preserve">2022 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492AB4">
              <w:rPr>
                <w:rFonts w:ascii="Arial Narrow" w:hAnsi="Arial Narrow"/>
                <w:b/>
                <w:sz w:val="22"/>
              </w:rPr>
              <w:t xml:space="preserve"> </w:t>
            </w:r>
            <w:r w:rsidR="00492AB4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92AB4" w:rsidRPr="005638EB" w14:paraId="0659109C" w14:textId="77777777" w:rsidTr="002F7726">
        <w:tc>
          <w:tcPr>
            <w:tcW w:w="9212" w:type="dxa"/>
          </w:tcPr>
          <w:p w14:paraId="65AF04D3" w14:textId="77777777" w:rsidR="00492AB4" w:rsidRPr="005638EB" w:rsidRDefault="00DC6CBD" w:rsidP="002F7726">
            <w:pPr>
              <w:rPr>
                <w:rFonts w:ascii="Arial Narrow" w:hAnsi="Arial Narrow"/>
              </w:rPr>
            </w:pPr>
            <w:r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</w:p>
        </w:tc>
      </w:tr>
    </w:tbl>
    <w:p w14:paraId="21DEF11D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8354BCB" w14:textId="77777777">
        <w:tc>
          <w:tcPr>
            <w:tcW w:w="9212" w:type="dxa"/>
          </w:tcPr>
          <w:p w14:paraId="00D4A11B" w14:textId="77777777" w:rsidR="008E6675" w:rsidRPr="005638EB" w:rsidRDefault="004C4F82" w:rsidP="005638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1.5</w:t>
            </w:r>
            <w:r w:rsidR="008E6675" w:rsidRPr="005638EB">
              <w:rPr>
                <w:rFonts w:ascii="Arial Narrow" w:hAnsi="Arial Narrow"/>
                <w:b/>
                <w:sz w:val="22"/>
              </w:rPr>
              <w:t xml:space="preserve"> Beschreibung der neuen Methode</w:t>
            </w:r>
          </w:p>
        </w:tc>
      </w:tr>
      <w:tr w:rsidR="008E6675" w:rsidRPr="005638EB" w14:paraId="39A89AD6" w14:textId="77777777">
        <w:tc>
          <w:tcPr>
            <w:tcW w:w="9212" w:type="dxa"/>
          </w:tcPr>
          <w:p w14:paraId="2FA9936C" w14:textId="77777777" w:rsidR="00E60E43" w:rsidRDefault="00BD662B" w:rsidP="00BD662B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>Wirkweise:</w:t>
            </w:r>
            <w:r w:rsidRPr="004E0797">
              <w:rPr>
                <w:rFonts w:ascii="Arial Narrow" w:hAnsi="Arial Narrow"/>
                <w:sz w:val="22"/>
              </w:rPr>
              <w:t xml:space="preserve"> </w:t>
            </w:r>
          </w:p>
          <w:p w14:paraId="1789722D" w14:textId="4CE35180" w:rsidR="00BD662B" w:rsidRDefault="00BD662B" w:rsidP="00BD662B">
            <w:pPr>
              <w:rPr>
                <w:rFonts w:ascii="Arial Narrow" w:hAnsi="Arial Narrow"/>
                <w:sz w:val="22"/>
              </w:rPr>
            </w:pPr>
            <w:r w:rsidRPr="004E0797">
              <w:rPr>
                <w:rFonts w:ascii="Arial Narrow" w:hAnsi="Arial Narrow"/>
                <w:sz w:val="22"/>
              </w:rPr>
              <w:t xml:space="preserve">Es handelt sich um eine Form der zellulären Immuntherapie, bei der gentechnologisch modifizierte T-Lymphozyten beim Patienten zur Anwendung kommen. Das Verfahren umfasst die Entnahme der  T-Zellen mittels </w:t>
            </w:r>
            <w:proofErr w:type="spellStart"/>
            <w:r w:rsidRPr="004E0797">
              <w:rPr>
                <w:rFonts w:ascii="Arial Narrow" w:hAnsi="Arial Narrow"/>
                <w:sz w:val="22"/>
              </w:rPr>
              <w:t>Apherese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beim Patienten</w:t>
            </w:r>
            <w:r w:rsidRPr="004E0797">
              <w:rPr>
                <w:rFonts w:ascii="Arial Narrow" w:hAnsi="Arial Narrow"/>
                <w:sz w:val="22"/>
              </w:rPr>
              <w:t xml:space="preserve">, deren </w:t>
            </w:r>
            <w:r w:rsidRPr="00932C03">
              <w:rPr>
                <w:rFonts w:ascii="Arial Narrow" w:hAnsi="Arial Narrow"/>
                <w:sz w:val="22"/>
              </w:rPr>
              <w:t>in-vitro</w:t>
            </w:r>
            <w:r w:rsidRPr="004E0797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Transduktion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Pr="004E0797">
              <w:rPr>
                <w:rFonts w:ascii="Arial Narrow" w:hAnsi="Arial Narrow"/>
                <w:sz w:val="22"/>
              </w:rPr>
              <w:t>mit einem spezifischen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E0797">
              <w:rPr>
                <w:rFonts w:ascii="Arial Narrow" w:hAnsi="Arial Narrow"/>
                <w:sz w:val="22"/>
              </w:rPr>
              <w:t xml:space="preserve">T-Zell-aktivierenden </w:t>
            </w:r>
            <w:proofErr w:type="spellStart"/>
            <w:r w:rsidRPr="004E0797">
              <w:rPr>
                <w:rFonts w:ascii="Arial Narrow" w:hAnsi="Arial Narrow"/>
                <w:sz w:val="22"/>
              </w:rPr>
              <w:t>chimären</w:t>
            </w:r>
            <w:proofErr w:type="spellEnd"/>
            <w:r w:rsidRPr="004E079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Antigenrezeptor (CAR)</w:t>
            </w:r>
            <w:r w:rsidRPr="004E0797">
              <w:rPr>
                <w:rFonts w:ascii="Arial Narrow" w:hAnsi="Arial Narrow"/>
                <w:sz w:val="22"/>
              </w:rPr>
              <w:t xml:space="preserve">, </w:t>
            </w:r>
            <w:r w:rsidR="00E60E43">
              <w:rPr>
                <w:rFonts w:ascii="Arial Narrow" w:hAnsi="Arial Narrow"/>
                <w:sz w:val="22"/>
              </w:rPr>
              <w:t xml:space="preserve">die in-vitro Expansion </w:t>
            </w:r>
            <w:r w:rsidRPr="004E0797">
              <w:rPr>
                <w:rFonts w:ascii="Arial Narrow" w:hAnsi="Arial Narrow"/>
                <w:sz w:val="22"/>
              </w:rPr>
              <w:t>und die anschließende Reinfusion der CAR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E0797">
              <w:rPr>
                <w:rFonts w:ascii="Arial Narrow" w:hAnsi="Arial Narrow"/>
                <w:sz w:val="22"/>
              </w:rPr>
              <w:t xml:space="preserve">T-Zellen. Darüber hinaus </w:t>
            </w:r>
            <w:r>
              <w:rPr>
                <w:rFonts w:ascii="Arial Narrow" w:hAnsi="Arial Narrow"/>
                <w:sz w:val="22"/>
              </w:rPr>
              <w:t xml:space="preserve">ist </w:t>
            </w:r>
            <w:r w:rsidRPr="004E0797">
              <w:rPr>
                <w:rFonts w:ascii="Arial Narrow" w:hAnsi="Arial Narrow"/>
                <w:sz w:val="22"/>
              </w:rPr>
              <w:t xml:space="preserve">vor Rückgabe der </w:t>
            </w:r>
            <w:r w:rsidRPr="00932C03">
              <w:rPr>
                <w:rFonts w:ascii="Arial Narrow" w:hAnsi="Arial Narrow"/>
                <w:sz w:val="22"/>
              </w:rPr>
              <w:t>ex-vivo</w:t>
            </w:r>
            <w:r w:rsidRPr="004E0797">
              <w:rPr>
                <w:rFonts w:ascii="Arial Narrow" w:hAnsi="Arial Narrow"/>
                <w:sz w:val="22"/>
              </w:rPr>
              <w:t xml:space="preserve"> prozessierten T-Zellen eine </w:t>
            </w:r>
            <w:r>
              <w:rPr>
                <w:rFonts w:ascii="Arial Narrow" w:hAnsi="Arial Narrow"/>
                <w:sz w:val="22"/>
              </w:rPr>
              <w:t xml:space="preserve">einheitliche </w:t>
            </w:r>
            <w:proofErr w:type="spellStart"/>
            <w:r>
              <w:rPr>
                <w:rFonts w:ascii="Arial Narrow" w:hAnsi="Arial Narrow"/>
                <w:sz w:val="22"/>
              </w:rPr>
              <w:t>lymphodepletierende</w:t>
            </w:r>
            <w:proofErr w:type="spellEnd"/>
            <w:r w:rsidRPr="004E0797">
              <w:rPr>
                <w:rFonts w:ascii="Arial Narrow" w:hAnsi="Arial Narrow"/>
                <w:sz w:val="22"/>
              </w:rPr>
              <w:t xml:space="preserve"> Chemotherapie erforderlich. Die antineoplastische Wirkung beruht auf der Erkennung eines spezifischen Tumorantigens (z.B. CD19 bei lymphatischen </w:t>
            </w:r>
            <w:proofErr w:type="spellStart"/>
            <w:r w:rsidRPr="004E0797">
              <w:rPr>
                <w:rFonts w:ascii="Arial Narrow" w:hAnsi="Arial Narrow"/>
                <w:sz w:val="22"/>
              </w:rPr>
              <w:t>Neoplasien</w:t>
            </w:r>
            <w:proofErr w:type="spellEnd"/>
            <w:r w:rsidRPr="004E0797">
              <w:rPr>
                <w:rFonts w:ascii="Arial Narrow" w:hAnsi="Arial Narrow"/>
                <w:sz w:val="22"/>
              </w:rPr>
              <w:t xml:space="preserve"> wie B-CLL, </w:t>
            </w:r>
            <w:r w:rsidR="006E1DB4">
              <w:rPr>
                <w:rFonts w:ascii="Arial Narrow" w:hAnsi="Arial Narrow"/>
                <w:sz w:val="22"/>
              </w:rPr>
              <w:t>B</w:t>
            </w:r>
            <w:r w:rsidRPr="004E0797">
              <w:rPr>
                <w:rFonts w:ascii="Arial Narrow" w:hAnsi="Arial Narrow"/>
                <w:sz w:val="22"/>
              </w:rPr>
              <w:t xml:space="preserve">-NHL oder </w:t>
            </w:r>
            <w:r>
              <w:rPr>
                <w:rFonts w:ascii="Arial Narrow" w:hAnsi="Arial Narrow"/>
                <w:sz w:val="22"/>
              </w:rPr>
              <w:t>B-Vorläufer-</w:t>
            </w:r>
            <w:r w:rsidRPr="004E0797">
              <w:rPr>
                <w:rFonts w:ascii="Arial Narrow" w:hAnsi="Arial Narrow"/>
                <w:sz w:val="22"/>
              </w:rPr>
              <w:t xml:space="preserve">ALL) und Initiierung einer stabilen Immunantwort durch </w:t>
            </w:r>
            <w:r>
              <w:rPr>
                <w:rFonts w:ascii="Arial Narrow" w:hAnsi="Arial Narrow"/>
                <w:sz w:val="22"/>
              </w:rPr>
              <w:t xml:space="preserve">die modifizierten </w:t>
            </w:r>
            <w:r w:rsidRPr="004E0797">
              <w:rPr>
                <w:rFonts w:ascii="Arial Narrow" w:hAnsi="Arial Narrow"/>
                <w:sz w:val="22"/>
              </w:rPr>
              <w:t>T-Lymphozyten</w:t>
            </w:r>
            <w:r>
              <w:rPr>
                <w:rFonts w:ascii="Arial Narrow" w:hAnsi="Arial Narrow"/>
                <w:sz w:val="22"/>
              </w:rPr>
              <w:t>.</w:t>
            </w:r>
            <w:r w:rsidRPr="004E0797">
              <w:rPr>
                <w:rFonts w:ascii="Arial Narrow" w:hAnsi="Arial Narrow"/>
                <w:sz w:val="22"/>
              </w:rPr>
              <w:t xml:space="preserve"> </w:t>
            </w:r>
          </w:p>
          <w:p w14:paraId="0EEDD6F5" w14:textId="77777777" w:rsidR="00BD662B" w:rsidRDefault="00BD662B" w:rsidP="00BD662B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 xml:space="preserve">Es gibt bereits Therapieansätze, die eine Kombination aus konventionellen Therapieformen und spezifischen Immuntherapeutika nutzen: „Vorreiter“ ist z.B. der kombinierte Einsatz von Chemotherapie und dem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monoklonalen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(anti-CD20) Antikörper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Rituximab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bei malignen B-Zell-Erkrankungen. Allerdings müssen Antikörper-basierte Immuntherapeutika wie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Rituximab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in regelmäßigen Abständen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re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>-appliziert werden, um langfristige Effekte zu erzielen. Zelluläre Immuntherapien dagegen könnten einen Ausweg bieten, da sie zusätzlich zur Spezifität eine „Memory-Funktion“ beinhalten und somit die oben erwähnte stabile Immunantwort durch T-Lymphozyten bewirken.</w:t>
            </w:r>
            <w:r w:rsidRPr="004E0797">
              <w:rPr>
                <w:rFonts w:ascii="Arial Narrow" w:hAnsi="Arial Narrow"/>
                <w:sz w:val="22"/>
              </w:rPr>
              <w:t xml:space="preserve"> </w:t>
            </w:r>
          </w:p>
          <w:p w14:paraId="555C27BB" w14:textId="77777777" w:rsidR="00E60E43" w:rsidRPr="005E30AE" w:rsidRDefault="00E60E43" w:rsidP="00BD662B">
            <w:pPr>
              <w:rPr>
                <w:rFonts w:ascii="Arial Narrow" w:hAnsi="Arial Narrow"/>
                <w:sz w:val="22"/>
              </w:rPr>
            </w:pPr>
          </w:p>
          <w:p w14:paraId="4B6D09A6" w14:textId="77777777" w:rsidR="00E60E43" w:rsidRDefault="00BD662B" w:rsidP="00516C3B">
            <w:pPr>
              <w:jc w:val="both"/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>Evidenzlage</w:t>
            </w:r>
            <w:r w:rsidRPr="004E0797">
              <w:rPr>
                <w:rFonts w:ascii="Arial Narrow" w:hAnsi="Arial Narrow"/>
                <w:sz w:val="22"/>
              </w:rPr>
              <w:t xml:space="preserve">: </w:t>
            </w:r>
          </w:p>
          <w:p w14:paraId="3118018B" w14:textId="73F69B2B" w:rsidR="004E3739" w:rsidRPr="00C12787" w:rsidRDefault="00BD662B" w:rsidP="00E60E43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E0797">
              <w:rPr>
                <w:rFonts w:ascii="Arial Narrow" w:hAnsi="Arial Narrow"/>
                <w:sz w:val="22"/>
              </w:rPr>
              <w:t xml:space="preserve">Das Verfahren wurde bisher ganz überwiegend bei Patienten mit hämatologischen </w:t>
            </w:r>
            <w:proofErr w:type="spellStart"/>
            <w:r w:rsidRPr="004E0797">
              <w:rPr>
                <w:rFonts w:ascii="Arial Narrow" w:hAnsi="Arial Narrow"/>
                <w:sz w:val="22"/>
              </w:rPr>
              <w:t>Neoplasien</w:t>
            </w:r>
            <w:proofErr w:type="spellEnd"/>
            <w:r w:rsidRPr="004E0797">
              <w:rPr>
                <w:rFonts w:ascii="Arial Narrow" w:hAnsi="Arial Narrow"/>
                <w:sz w:val="22"/>
              </w:rPr>
              <w:t xml:space="preserve"> und nur sehr begrenzt bei soliden Tumoren untersucht. Dabei handelt es sich </w:t>
            </w:r>
            <w:r w:rsidR="00625B01">
              <w:rPr>
                <w:rFonts w:ascii="Arial Narrow" w:hAnsi="Arial Narrow"/>
                <w:sz w:val="22"/>
              </w:rPr>
              <w:t xml:space="preserve">um </w:t>
            </w:r>
            <w:r w:rsidR="00E60E43">
              <w:rPr>
                <w:rFonts w:ascii="Arial Narrow" w:hAnsi="Arial Narrow"/>
                <w:sz w:val="22"/>
              </w:rPr>
              <w:t xml:space="preserve">klinische Phase 1 und 2 </w:t>
            </w:r>
            <w:r w:rsidRPr="004E0797">
              <w:rPr>
                <w:rFonts w:ascii="Arial Narrow" w:hAnsi="Arial Narrow"/>
                <w:sz w:val="22"/>
              </w:rPr>
              <w:t xml:space="preserve"> Studien an Patienten mit fortgeschrittenen (rezidivierten o</w:t>
            </w:r>
            <w:r w:rsidR="00E60E43">
              <w:rPr>
                <w:rFonts w:ascii="Arial Narrow" w:hAnsi="Arial Narrow"/>
                <w:sz w:val="22"/>
              </w:rPr>
              <w:t>der</w:t>
            </w:r>
            <w:r w:rsidRPr="004E0797">
              <w:rPr>
                <w:rFonts w:ascii="Arial Narrow" w:hAnsi="Arial Narrow"/>
                <w:sz w:val="22"/>
              </w:rPr>
              <w:t xml:space="preserve"> refraktären) Erkrankungen. </w:t>
            </w:r>
            <w:r w:rsidR="002F7726" w:rsidRPr="00093F1B">
              <w:rPr>
                <w:rFonts w:ascii="Arial Narrow" w:hAnsi="Arial Narrow"/>
                <w:sz w:val="22"/>
              </w:rPr>
              <w:t xml:space="preserve">Kinder und Erwachsene mit einem therapierefraktären Rezidiv einer ALL haben nur eine Überlebenszeit von wenigen Monaten. Die vorliegenden Ergebnisse der Behandlung </w:t>
            </w:r>
            <w:r w:rsidR="002F7726">
              <w:rPr>
                <w:rFonts w:ascii="Arial Narrow" w:hAnsi="Arial Narrow"/>
                <w:sz w:val="22"/>
              </w:rPr>
              <w:t>mit</w:t>
            </w:r>
            <w:r w:rsidR="002F7726" w:rsidRPr="00093F1B">
              <w:rPr>
                <w:rFonts w:ascii="Arial Narrow" w:hAnsi="Arial Narrow"/>
                <w:sz w:val="22"/>
              </w:rPr>
              <w:t xml:space="preserve"> CD19-spezifischen CAR T-Zellen haben demgegenüber molekulare Remissionen bei über 70% </w:t>
            </w:r>
            <w:r w:rsidR="00E60E43">
              <w:rPr>
                <w:rFonts w:ascii="Arial Narrow" w:hAnsi="Arial Narrow"/>
                <w:sz w:val="22"/>
              </w:rPr>
              <w:t xml:space="preserve">gezeigt </w:t>
            </w:r>
            <w:r w:rsidR="004E3739" w:rsidRPr="00516C3B">
              <w:rPr>
                <w:rFonts w:ascii="Arial Narrow" w:hAnsi="Arial Narrow"/>
                <w:sz w:val="22"/>
              </w:rPr>
              <w:t>(</w:t>
            </w:r>
            <w:r w:rsidR="00E60E43" w:rsidRPr="00BB0A8F">
              <w:rPr>
                <w:rFonts w:ascii="Arial Narrow" w:hAnsi="Arial Narrow"/>
                <w:sz w:val="22"/>
              </w:rPr>
              <w:t xml:space="preserve">Maude SL et al. </w:t>
            </w:r>
            <w:r w:rsidR="00E60E43" w:rsidRPr="0031107C">
              <w:rPr>
                <w:rFonts w:ascii="Arial Narrow" w:hAnsi="Arial Narrow"/>
                <w:i/>
                <w:iCs/>
                <w:sz w:val="22"/>
                <w:lang w:val="nl-NL"/>
              </w:rPr>
              <w:t>NEJM</w:t>
            </w:r>
            <w:r w:rsidR="00E60E43" w:rsidRPr="0031107C">
              <w:rPr>
                <w:rFonts w:ascii="Arial Narrow" w:hAnsi="Arial Narrow"/>
                <w:sz w:val="22"/>
                <w:lang w:val="nl-NL"/>
              </w:rPr>
              <w:t xml:space="preserve"> 2018, 378(5):439-448; </w:t>
            </w:r>
            <w:r w:rsidR="004E3739" w:rsidRPr="0031107C">
              <w:rPr>
                <w:rFonts w:ascii="Arial Narrow" w:hAnsi="Arial Narrow"/>
                <w:sz w:val="22"/>
                <w:lang w:val="nl-NL"/>
              </w:rPr>
              <w:t xml:space="preserve">Lee DW et al. </w:t>
            </w:r>
            <w:r w:rsidR="004E3739" w:rsidRPr="0031107C">
              <w:rPr>
                <w:rFonts w:ascii="Arial Narrow" w:hAnsi="Arial Narrow"/>
                <w:i/>
                <w:iCs/>
                <w:sz w:val="22"/>
                <w:lang w:val="nl-NL"/>
              </w:rPr>
              <w:t>Lancet</w:t>
            </w:r>
            <w:r w:rsidR="004E3739" w:rsidRPr="0031107C">
              <w:rPr>
                <w:rFonts w:ascii="Arial Narrow" w:hAnsi="Arial Narrow"/>
                <w:sz w:val="22"/>
                <w:lang w:val="nl-NL"/>
              </w:rPr>
              <w:t xml:space="preserve"> 2015, 385(9967):517-28; </w:t>
            </w:r>
            <w:proofErr w:type="spellStart"/>
            <w:r w:rsidR="004E3739" w:rsidRPr="0031107C">
              <w:rPr>
                <w:rFonts w:ascii="Arial Narrow" w:hAnsi="Arial Narrow"/>
                <w:sz w:val="22"/>
                <w:lang w:val="nl-NL"/>
              </w:rPr>
              <w:t>Turtle</w:t>
            </w:r>
            <w:proofErr w:type="spellEnd"/>
            <w:r w:rsidR="004E3739" w:rsidRPr="0031107C">
              <w:rPr>
                <w:rFonts w:ascii="Arial Narrow" w:hAnsi="Arial Narrow"/>
                <w:sz w:val="22"/>
                <w:lang w:val="nl-NL"/>
              </w:rPr>
              <w:t xml:space="preserve"> CJ et al. </w:t>
            </w:r>
            <w:r w:rsidR="004E3739" w:rsidRPr="00833C11">
              <w:rPr>
                <w:rFonts w:ascii="Arial Narrow" w:hAnsi="Arial Narrow"/>
                <w:i/>
                <w:iCs/>
                <w:sz w:val="22"/>
              </w:rPr>
              <w:t xml:space="preserve">J </w:t>
            </w:r>
            <w:proofErr w:type="spellStart"/>
            <w:r w:rsidR="004E3739" w:rsidRPr="00833C11">
              <w:rPr>
                <w:rFonts w:ascii="Arial Narrow" w:hAnsi="Arial Narrow"/>
                <w:i/>
                <w:iCs/>
                <w:sz w:val="22"/>
              </w:rPr>
              <w:t>Clin</w:t>
            </w:r>
            <w:proofErr w:type="spellEnd"/>
            <w:r w:rsidR="004E3739" w:rsidRPr="00833C11">
              <w:rPr>
                <w:rFonts w:ascii="Arial Narrow" w:hAnsi="Arial Narrow"/>
                <w:i/>
                <w:iCs/>
                <w:sz w:val="22"/>
              </w:rPr>
              <w:t xml:space="preserve"> </w:t>
            </w:r>
            <w:proofErr w:type="spellStart"/>
            <w:r w:rsidR="004E3739" w:rsidRPr="00833C11">
              <w:rPr>
                <w:rFonts w:ascii="Arial Narrow" w:hAnsi="Arial Narrow"/>
                <w:i/>
                <w:iCs/>
                <w:sz w:val="22"/>
              </w:rPr>
              <w:t>Invest</w:t>
            </w:r>
            <w:proofErr w:type="spellEnd"/>
            <w:r w:rsidR="004E3739" w:rsidRPr="00833C11">
              <w:rPr>
                <w:rFonts w:ascii="Arial Narrow" w:hAnsi="Arial Narrow"/>
                <w:sz w:val="22"/>
              </w:rPr>
              <w:t xml:space="preserve"> 2016, 126(6):2123-38; Gardner RA et al. Blood 2017, 129(25):3322-3331). </w:t>
            </w:r>
            <w:r w:rsidR="002F7726" w:rsidRPr="00516C3B">
              <w:rPr>
                <w:rFonts w:ascii="Arial Narrow" w:hAnsi="Arial Narrow"/>
                <w:sz w:val="22"/>
                <w:szCs w:val="22"/>
              </w:rPr>
              <w:t xml:space="preserve">Auch bei Patienten mit CLL oder NHL konnten Ansprechraten </w:t>
            </w:r>
            <w:r w:rsidR="00C67695">
              <w:rPr>
                <w:rFonts w:ascii="Arial Narrow" w:hAnsi="Arial Narrow"/>
                <w:sz w:val="22"/>
                <w:szCs w:val="22"/>
              </w:rPr>
              <w:t xml:space="preserve">von 60-80% mit einem hohen Anteil vollständiger </w:t>
            </w:r>
            <w:r w:rsidR="00C67695">
              <w:rPr>
                <w:rFonts w:ascii="Arial Narrow" w:hAnsi="Arial Narrow"/>
                <w:sz w:val="22"/>
                <w:szCs w:val="22"/>
              </w:rPr>
              <w:lastRenderedPageBreak/>
              <w:t xml:space="preserve">Remissionen </w:t>
            </w:r>
            <w:r w:rsidR="002F7726" w:rsidRPr="00516C3B">
              <w:rPr>
                <w:rFonts w:ascii="Arial Narrow" w:hAnsi="Arial Narrow"/>
                <w:sz w:val="22"/>
                <w:szCs w:val="22"/>
              </w:rPr>
              <w:t>erzielt werden</w:t>
            </w:r>
            <w:r w:rsidR="00C67695" w:rsidRPr="00516C3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E60E43" w:rsidRPr="00E60E43">
              <w:rPr>
                <w:rFonts w:ascii="Arial Narrow" w:hAnsi="Arial Narrow"/>
                <w:sz w:val="22"/>
                <w:szCs w:val="22"/>
              </w:rPr>
              <w:t>Neelapu</w:t>
            </w:r>
            <w:proofErr w:type="spellEnd"/>
            <w:r w:rsidR="00E60E43" w:rsidRPr="00E60E43">
              <w:rPr>
                <w:rFonts w:ascii="Arial Narrow" w:hAnsi="Arial Narrow"/>
                <w:sz w:val="22"/>
                <w:szCs w:val="22"/>
              </w:rPr>
              <w:t xml:space="preserve"> et al. </w:t>
            </w:r>
            <w:r w:rsidR="00E60E43" w:rsidRPr="0031107C">
              <w:rPr>
                <w:rFonts w:ascii="Arial Narrow" w:hAnsi="Arial Narrow"/>
                <w:sz w:val="22"/>
                <w:szCs w:val="22"/>
                <w:lang w:val="nl-NL"/>
              </w:rPr>
              <w:t xml:space="preserve">NEJM 2017, 377:2531-44; </w:t>
            </w:r>
            <w:r w:rsidR="00E60E43" w:rsidRPr="0031107C">
              <w:rPr>
                <w:rFonts w:ascii="Arial Narrow" w:hAnsi="Arial Narrow" w:cs="Arial"/>
                <w:sz w:val="22"/>
                <w:szCs w:val="22"/>
                <w:lang w:val="nl-NL"/>
              </w:rPr>
              <w:t xml:space="preserve">Schuster et al. New </w:t>
            </w:r>
            <w:proofErr w:type="spellStart"/>
            <w:r w:rsidR="00E60E43" w:rsidRPr="0031107C">
              <w:rPr>
                <w:rFonts w:ascii="Arial Narrow" w:hAnsi="Arial Narrow" w:cs="Arial"/>
                <w:sz w:val="22"/>
                <w:szCs w:val="22"/>
                <w:lang w:val="nl-NL"/>
              </w:rPr>
              <w:t>Engl</w:t>
            </w:r>
            <w:proofErr w:type="spellEnd"/>
            <w:r w:rsidR="00E60E43" w:rsidRPr="0031107C">
              <w:rPr>
                <w:rFonts w:ascii="Arial Narrow" w:hAnsi="Arial Narrow" w:cs="Arial"/>
                <w:sz w:val="22"/>
                <w:szCs w:val="22"/>
                <w:lang w:val="nl-NL"/>
              </w:rPr>
              <w:t xml:space="preserve"> J Med 2017;377(26):2545-2554; </w:t>
            </w:r>
            <w:proofErr w:type="spellStart"/>
            <w:r w:rsidR="00C67695" w:rsidRPr="0031107C">
              <w:rPr>
                <w:rFonts w:ascii="Arial Narrow" w:hAnsi="Arial Narrow"/>
                <w:sz w:val="22"/>
                <w:szCs w:val="22"/>
                <w:lang w:val="nl-NL"/>
              </w:rPr>
              <w:t>Kochenderfer</w:t>
            </w:r>
            <w:proofErr w:type="spellEnd"/>
            <w:r w:rsidR="00C67695" w:rsidRPr="0031107C">
              <w:rPr>
                <w:rFonts w:ascii="Arial Narrow" w:hAnsi="Arial Narrow"/>
                <w:sz w:val="22"/>
                <w:szCs w:val="22"/>
                <w:lang w:val="nl-NL"/>
              </w:rPr>
              <w:t xml:space="preserve"> JN et al. </w:t>
            </w:r>
            <w:r w:rsidR="00C67695" w:rsidRPr="0031107C">
              <w:rPr>
                <w:rFonts w:ascii="Arial Narrow" w:hAnsi="Arial Narrow"/>
                <w:i/>
                <w:iCs/>
                <w:sz w:val="22"/>
                <w:szCs w:val="22"/>
                <w:lang w:val="nl-NL"/>
              </w:rPr>
              <w:t xml:space="preserve">J </w:t>
            </w:r>
            <w:proofErr w:type="spellStart"/>
            <w:r w:rsidR="00C67695" w:rsidRPr="0031107C">
              <w:rPr>
                <w:rFonts w:ascii="Arial Narrow" w:hAnsi="Arial Narrow"/>
                <w:i/>
                <w:iCs/>
                <w:sz w:val="22"/>
                <w:szCs w:val="22"/>
                <w:lang w:val="nl-NL"/>
              </w:rPr>
              <w:t>Clin</w:t>
            </w:r>
            <w:proofErr w:type="spellEnd"/>
            <w:r w:rsidR="00C67695" w:rsidRPr="0031107C">
              <w:rPr>
                <w:rFonts w:ascii="Arial Narrow" w:hAnsi="Arial Narrow"/>
                <w:i/>
                <w:iCs/>
                <w:sz w:val="22"/>
                <w:szCs w:val="22"/>
                <w:lang w:val="nl-NL"/>
              </w:rPr>
              <w:t xml:space="preserve"> </w:t>
            </w:r>
            <w:proofErr w:type="spellStart"/>
            <w:r w:rsidR="00C67695" w:rsidRPr="0031107C">
              <w:rPr>
                <w:rFonts w:ascii="Arial Narrow" w:hAnsi="Arial Narrow"/>
                <w:i/>
                <w:iCs/>
                <w:sz w:val="22"/>
                <w:szCs w:val="22"/>
                <w:lang w:val="nl-NL"/>
              </w:rPr>
              <w:t>Oncol</w:t>
            </w:r>
            <w:proofErr w:type="spellEnd"/>
            <w:r w:rsidR="00C67695" w:rsidRPr="0031107C">
              <w:rPr>
                <w:rFonts w:ascii="Arial Narrow" w:hAnsi="Arial Narrow"/>
                <w:i/>
                <w:iCs/>
                <w:sz w:val="22"/>
                <w:szCs w:val="22"/>
                <w:lang w:val="nl-NL"/>
              </w:rPr>
              <w:t xml:space="preserve"> </w:t>
            </w:r>
            <w:r w:rsidR="00C67695" w:rsidRPr="00E60E43">
              <w:rPr>
                <w:rFonts w:ascii="Arial Narrow" w:hAnsi="Arial Narrow"/>
                <w:sz w:val="22"/>
                <w:szCs w:val="22"/>
                <w:lang w:val="it-IT"/>
              </w:rPr>
              <w:t xml:space="preserve">2017, 35(16):1803-1813; </w:t>
            </w:r>
            <w:proofErr w:type="spellStart"/>
            <w:r w:rsidR="00C67695" w:rsidRPr="00E60E43">
              <w:rPr>
                <w:rFonts w:ascii="Arial Narrow" w:hAnsi="Arial Narrow"/>
                <w:sz w:val="22"/>
                <w:szCs w:val="22"/>
                <w:lang w:val="it-IT"/>
              </w:rPr>
              <w:t>Turtle</w:t>
            </w:r>
            <w:proofErr w:type="spellEnd"/>
            <w:r w:rsidR="00C67695" w:rsidRPr="00E60E43">
              <w:rPr>
                <w:rFonts w:ascii="Arial Narrow" w:hAnsi="Arial Narrow"/>
                <w:sz w:val="22"/>
                <w:szCs w:val="22"/>
                <w:lang w:val="it-IT"/>
              </w:rPr>
              <w:t xml:space="preserve"> CJ et al. Sci </w:t>
            </w:r>
            <w:proofErr w:type="spellStart"/>
            <w:r w:rsidR="00C67695" w:rsidRPr="00E60E43">
              <w:rPr>
                <w:rFonts w:ascii="Arial Narrow" w:hAnsi="Arial Narrow"/>
                <w:sz w:val="22"/>
                <w:szCs w:val="22"/>
                <w:lang w:val="it-IT"/>
              </w:rPr>
              <w:t>Transl</w:t>
            </w:r>
            <w:proofErr w:type="spellEnd"/>
            <w:r w:rsidR="00C67695" w:rsidRPr="00E60E43">
              <w:rPr>
                <w:rFonts w:ascii="Arial Narrow" w:hAnsi="Arial Narrow"/>
                <w:sz w:val="22"/>
                <w:szCs w:val="22"/>
                <w:lang w:val="it-IT"/>
              </w:rPr>
              <w:t xml:space="preserve"> Med 2016, 8(355):355ra116</w:t>
            </w:r>
            <w:r w:rsidR="00C67695" w:rsidRPr="00DE6F3D">
              <w:rPr>
                <w:rFonts w:ascii="Arial Narrow" w:hAnsi="Arial Narrow"/>
                <w:sz w:val="22"/>
                <w:szCs w:val="22"/>
                <w:lang w:val="it-IT"/>
              </w:rPr>
              <w:t xml:space="preserve">; </w:t>
            </w:r>
            <w:proofErr w:type="spellStart"/>
            <w:r w:rsidR="00C67695" w:rsidRPr="001842C1">
              <w:rPr>
                <w:rFonts w:ascii="Arial Narrow" w:hAnsi="Arial Narrow"/>
                <w:sz w:val="22"/>
                <w:szCs w:val="22"/>
                <w:lang w:val="it-IT"/>
              </w:rPr>
              <w:t>Turtle</w:t>
            </w:r>
            <w:proofErr w:type="spellEnd"/>
            <w:r w:rsidR="00C67695" w:rsidRPr="001842C1">
              <w:rPr>
                <w:rFonts w:ascii="Arial Narrow" w:hAnsi="Arial Narrow"/>
                <w:sz w:val="22"/>
                <w:szCs w:val="22"/>
                <w:lang w:val="it-IT"/>
              </w:rPr>
              <w:t xml:space="preserve"> CJ et al</w:t>
            </w:r>
            <w:r w:rsidR="00C67695" w:rsidRPr="00516C3B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="00C67695" w:rsidRPr="00C12787"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  <w:t xml:space="preserve">J </w:t>
            </w:r>
            <w:proofErr w:type="spellStart"/>
            <w:r w:rsidR="00C67695" w:rsidRPr="00C12787"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  <w:t>Clin</w:t>
            </w:r>
            <w:proofErr w:type="spellEnd"/>
            <w:r w:rsidR="00C67695" w:rsidRPr="00C12787"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7695" w:rsidRPr="00C12787"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  <w:t>Oncol</w:t>
            </w:r>
            <w:proofErr w:type="spellEnd"/>
            <w:r w:rsidR="00C67695" w:rsidRPr="00C12787">
              <w:rPr>
                <w:rFonts w:ascii="Arial Narrow" w:hAnsi="Arial Narrow"/>
                <w:sz w:val="22"/>
                <w:szCs w:val="22"/>
                <w:lang w:val="en-US"/>
              </w:rPr>
              <w:t xml:space="preserve"> 2017, 35(26):3010-3020)</w:t>
            </w:r>
            <w:r w:rsidR="002F7726" w:rsidRPr="00C12787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00FFFBFB" w14:textId="77777777" w:rsidR="00A7373C" w:rsidRDefault="00A7373C" w:rsidP="00BB0A8F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Erste Langzeitdaten zeigen, dass die erzielten Remissionen bei vielen der Patienten anhalten. Unter 75 pädiatrischen und jungen erwachsenen Patienten mit refraktärer ALL lag das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rezidivfreie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Überleben nach 12 Monaten bei 50% (</w:t>
            </w:r>
            <w:r w:rsidRPr="00BB0A8F">
              <w:rPr>
                <w:rFonts w:ascii="Arial Narrow" w:hAnsi="Arial Narrow"/>
                <w:sz w:val="22"/>
              </w:rPr>
              <w:t xml:space="preserve">Maude SL et al. </w:t>
            </w:r>
            <w:r w:rsidRPr="00BB0A8F">
              <w:rPr>
                <w:rFonts w:ascii="Arial Narrow" w:hAnsi="Arial Narrow"/>
                <w:i/>
                <w:iCs/>
                <w:sz w:val="22"/>
              </w:rPr>
              <w:t>NEJM</w:t>
            </w:r>
            <w:r w:rsidRPr="00BB0A8F">
              <w:rPr>
                <w:rFonts w:ascii="Arial Narrow" w:hAnsi="Arial Narrow"/>
                <w:sz w:val="22"/>
              </w:rPr>
              <w:t xml:space="preserve"> 2018, 378(5):439-448). Und unter 108 Patienten mit refraktärem Non-Hodgkin-Lymphom, die mit CAR T-Zellen behandelt wurden, befanden sich nach 1 Jahr noch 40% in anhaltender Remission (</w:t>
            </w:r>
            <w:proofErr w:type="spellStart"/>
            <w:r w:rsidRPr="00E60E43">
              <w:rPr>
                <w:rFonts w:ascii="Arial Narrow" w:hAnsi="Arial Narrow"/>
                <w:sz w:val="22"/>
                <w:szCs w:val="22"/>
              </w:rPr>
              <w:t>Neelapu</w:t>
            </w:r>
            <w:proofErr w:type="spellEnd"/>
            <w:r w:rsidRPr="00E60E43">
              <w:rPr>
                <w:rFonts w:ascii="Arial Narrow" w:hAnsi="Arial Narrow"/>
                <w:sz w:val="22"/>
                <w:szCs w:val="22"/>
              </w:rPr>
              <w:t xml:space="preserve"> et al. NEJM 2017, 377:2531-44</w:t>
            </w:r>
            <w:r w:rsidRPr="00625B01">
              <w:rPr>
                <w:rFonts w:ascii="Arial Narrow" w:hAnsi="Arial Narrow"/>
                <w:sz w:val="22"/>
              </w:rPr>
              <w:t xml:space="preserve">). </w:t>
            </w:r>
          </w:p>
          <w:p w14:paraId="77726E6C" w14:textId="77777777" w:rsidR="00AF09BD" w:rsidRPr="00625B01" w:rsidRDefault="00AF09BD" w:rsidP="00BB0A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DC621" w14:textId="618CD746" w:rsidR="006E1DB4" w:rsidRPr="00833C11" w:rsidRDefault="00BD662B" w:rsidP="006E1DB4">
            <w:pPr>
              <w:tabs>
                <w:tab w:val="left" w:pos="2160"/>
                <w:tab w:val="left" w:pos="4140"/>
              </w:tabs>
              <w:rPr>
                <w:rFonts w:ascii="Arial Narrow" w:hAnsi="Arial Narrow"/>
                <w:sz w:val="22"/>
              </w:rPr>
            </w:pPr>
            <w:r w:rsidRPr="004E0797">
              <w:rPr>
                <w:rFonts w:ascii="Arial Narrow" w:hAnsi="Arial Narrow"/>
                <w:sz w:val="22"/>
              </w:rPr>
              <w:t xml:space="preserve">Für Patienten mit soliden Tumoren sind die vorliegenden Daten noch sehr begrenzt, u.a. da die Identifikation geeigneter Zielantigene aufwändiger ist. </w:t>
            </w:r>
            <w:r w:rsidR="006E1DB4">
              <w:rPr>
                <w:rFonts w:ascii="Arial Narrow" w:hAnsi="Arial Narrow"/>
                <w:sz w:val="22"/>
              </w:rPr>
              <w:t>E</w:t>
            </w:r>
            <w:r w:rsidR="003F1F1B">
              <w:rPr>
                <w:rFonts w:ascii="Arial Narrow" w:hAnsi="Arial Narrow"/>
                <w:sz w:val="22"/>
              </w:rPr>
              <w:t xml:space="preserve">rste Studien </w:t>
            </w:r>
            <w:r w:rsidR="006E1DB4">
              <w:rPr>
                <w:rFonts w:ascii="Arial Narrow" w:hAnsi="Arial Narrow"/>
                <w:sz w:val="22"/>
              </w:rPr>
              <w:t>zeigen</w:t>
            </w:r>
            <w:r w:rsidR="006E1DB4" w:rsidRPr="004E0797">
              <w:rPr>
                <w:rFonts w:ascii="Arial Narrow" w:hAnsi="Arial Narrow"/>
                <w:sz w:val="22"/>
              </w:rPr>
              <w:t xml:space="preserve"> </w:t>
            </w:r>
            <w:r w:rsidRPr="004E0797">
              <w:rPr>
                <w:rFonts w:ascii="Arial Narrow" w:hAnsi="Arial Narrow"/>
                <w:sz w:val="22"/>
              </w:rPr>
              <w:t xml:space="preserve">auch </w:t>
            </w:r>
            <w:r w:rsidR="006E1DB4">
              <w:rPr>
                <w:rFonts w:ascii="Arial Narrow" w:hAnsi="Arial Narrow"/>
                <w:sz w:val="22"/>
              </w:rPr>
              <w:t>bei ersten soliden Indikationen</w:t>
            </w:r>
            <w:r w:rsidRPr="004E0797">
              <w:rPr>
                <w:rFonts w:ascii="Arial Narrow" w:hAnsi="Arial Narrow"/>
                <w:sz w:val="22"/>
              </w:rPr>
              <w:t xml:space="preserve"> eine Effektivität</w:t>
            </w:r>
            <w:r w:rsidR="003F1F1B">
              <w:rPr>
                <w:rFonts w:ascii="Arial Narrow" w:hAnsi="Arial Narrow"/>
                <w:sz w:val="22"/>
              </w:rPr>
              <w:t xml:space="preserve"> </w:t>
            </w:r>
            <w:r w:rsidR="006D4676">
              <w:rPr>
                <w:rFonts w:ascii="Arial Narrow" w:hAnsi="Arial Narrow"/>
                <w:sz w:val="22"/>
              </w:rPr>
              <w:t>(</w:t>
            </w:r>
            <w:proofErr w:type="spellStart"/>
            <w:r w:rsidR="006E1DB4">
              <w:rPr>
                <w:rFonts w:ascii="Arial Narrow" w:hAnsi="Arial Narrow"/>
                <w:sz w:val="22"/>
              </w:rPr>
              <w:t>Straathof</w:t>
            </w:r>
            <w:proofErr w:type="spellEnd"/>
            <w:r w:rsidR="006E1DB4">
              <w:rPr>
                <w:rFonts w:ascii="Arial Narrow" w:hAnsi="Arial Narrow"/>
                <w:sz w:val="22"/>
              </w:rPr>
              <w:t xml:space="preserve"> et al. </w:t>
            </w:r>
            <w:proofErr w:type="spellStart"/>
            <w:r w:rsidR="006E1DB4" w:rsidRPr="00833C11">
              <w:rPr>
                <w:rFonts w:ascii="Arial Narrow" w:hAnsi="Arial Narrow"/>
                <w:sz w:val="22"/>
              </w:rPr>
              <w:t>Sci</w:t>
            </w:r>
            <w:proofErr w:type="spellEnd"/>
            <w:r w:rsidR="006E1DB4" w:rsidRPr="00833C11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6E1DB4" w:rsidRPr="00833C11">
              <w:rPr>
                <w:rFonts w:ascii="Arial Narrow" w:hAnsi="Arial Narrow"/>
                <w:sz w:val="22"/>
              </w:rPr>
              <w:t>Transl</w:t>
            </w:r>
            <w:proofErr w:type="spellEnd"/>
            <w:r w:rsidR="006E1DB4" w:rsidRPr="00833C11">
              <w:rPr>
                <w:rFonts w:ascii="Arial Narrow" w:hAnsi="Arial Narrow"/>
                <w:sz w:val="22"/>
              </w:rPr>
              <w:t xml:space="preserve"> Med. 2020 Nov 25;12(571); </w:t>
            </w:r>
            <w:proofErr w:type="spellStart"/>
            <w:r w:rsidR="006E1DB4" w:rsidRPr="00833C11">
              <w:rPr>
                <w:rFonts w:ascii="Arial Narrow" w:hAnsi="Arial Narrow"/>
                <w:sz w:val="22"/>
              </w:rPr>
              <w:t>Majzner</w:t>
            </w:r>
            <w:proofErr w:type="spellEnd"/>
            <w:r w:rsidR="006E1DB4" w:rsidRPr="00833C11">
              <w:rPr>
                <w:rFonts w:ascii="Arial Narrow" w:hAnsi="Arial Narrow"/>
                <w:sz w:val="22"/>
              </w:rPr>
              <w:t xml:space="preserve"> et al. Nature. 2022 Mar;603(7903):934-941</w:t>
            </w:r>
            <w:r w:rsidR="006E1DB4">
              <w:rPr>
                <w:rFonts w:ascii="Arial Narrow" w:hAnsi="Arial Narrow"/>
                <w:sz w:val="22"/>
              </w:rPr>
              <w:t>)</w:t>
            </w:r>
          </w:p>
          <w:p w14:paraId="4E9B5F6C" w14:textId="4D02CCE3" w:rsidR="008E6675" w:rsidRPr="00776CF2" w:rsidRDefault="00776CF2" w:rsidP="001F289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Zwei kommerziell erhältliche Präparate wurden am 23.8.2018 von der EMA zugelassen (</w:t>
            </w:r>
            <w:proofErr w:type="spellStart"/>
            <w:r w:rsidRPr="00776CF2">
              <w:rPr>
                <w:rFonts w:ascii="Arial Narrow" w:hAnsi="Arial Narrow"/>
                <w:sz w:val="22"/>
              </w:rPr>
              <w:t>Axicabtagen</w:t>
            </w:r>
            <w:proofErr w:type="spellEnd"/>
            <w:r w:rsidRPr="00776CF2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776CF2">
              <w:rPr>
                <w:rFonts w:ascii="Arial Narrow" w:hAnsi="Arial Narrow"/>
                <w:sz w:val="22"/>
              </w:rPr>
              <w:t>Ciloleucel</w:t>
            </w:r>
            <w:proofErr w:type="spellEnd"/>
            <w:r w:rsidRPr="00776CF2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776CF2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776CF2">
              <w:rPr>
                <w:rFonts w:ascii="Arial Narrow" w:hAnsi="Arial Narrow"/>
                <w:sz w:val="22"/>
              </w:rPr>
              <w:t>)</w:t>
            </w:r>
            <w:r>
              <w:rPr>
                <w:rFonts w:ascii="Arial Narrow" w:hAnsi="Arial Narrow"/>
                <w:sz w:val="22"/>
              </w:rPr>
              <w:t xml:space="preserve">. </w:t>
            </w:r>
            <w:r w:rsidR="0031107C">
              <w:rPr>
                <w:rFonts w:ascii="Arial Narrow" w:hAnsi="Arial Narrow"/>
                <w:sz w:val="22"/>
              </w:rPr>
              <w:t>W</w:t>
            </w:r>
            <w:r w:rsidR="001F2899">
              <w:rPr>
                <w:rFonts w:ascii="Arial Narrow" w:hAnsi="Arial Narrow"/>
                <w:sz w:val="22"/>
              </w:rPr>
              <w:t xml:space="preserve">eitere Präparate </w:t>
            </w:r>
            <w:r w:rsidR="006E1DB4">
              <w:rPr>
                <w:rFonts w:ascii="Arial Narrow" w:hAnsi="Arial Narrow"/>
                <w:sz w:val="22"/>
              </w:rPr>
              <w:t>sind</w:t>
            </w:r>
            <w:r w:rsidR="0031107C">
              <w:rPr>
                <w:rFonts w:ascii="Arial Narrow" w:hAnsi="Arial Narrow"/>
                <w:sz w:val="22"/>
              </w:rPr>
              <w:t xml:space="preserve"> 2022</w:t>
            </w:r>
            <w:r w:rsidR="001F2899">
              <w:rPr>
                <w:rFonts w:ascii="Arial Narrow" w:hAnsi="Arial Narrow"/>
                <w:sz w:val="22"/>
              </w:rPr>
              <w:t xml:space="preserve"> auf den Markt </w:t>
            </w:r>
            <w:r w:rsidR="006E1DB4">
              <w:rPr>
                <w:rFonts w:ascii="Arial Narrow" w:hAnsi="Arial Narrow"/>
                <w:sz w:val="22"/>
              </w:rPr>
              <w:t>ge</w:t>
            </w:r>
            <w:r w:rsidR="001F2899">
              <w:rPr>
                <w:rFonts w:ascii="Arial Narrow" w:hAnsi="Arial Narrow"/>
                <w:sz w:val="22"/>
              </w:rPr>
              <w:t xml:space="preserve">kommen. </w:t>
            </w:r>
            <w:r>
              <w:rPr>
                <w:rFonts w:ascii="Arial Narrow" w:hAnsi="Arial Narrow"/>
                <w:sz w:val="22"/>
              </w:rPr>
              <w:t>Die in diesem Antrag</w:t>
            </w:r>
            <w:r w:rsidR="00A7373C">
              <w:rPr>
                <w:rFonts w:ascii="Arial Narrow" w:hAnsi="Arial Narrow"/>
                <w:sz w:val="22"/>
              </w:rPr>
              <w:t xml:space="preserve"> </w:t>
            </w:r>
            <w:r w:rsidR="0010382E">
              <w:rPr>
                <w:rFonts w:ascii="Arial Narrow" w:hAnsi="Arial Narrow"/>
                <w:sz w:val="22"/>
              </w:rPr>
              <w:t>beschriebenen</w:t>
            </w:r>
            <w:r>
              <w:rPr>
                <w:rFonts w:ascii="Arial Narrow" w:hAnsi="Arial Narrow"/>
                <w:sz w:val="22"/>
              </w:rPr>
              <w:t xml:space="preserve"> Zellen sind vom Prinzip ähnlich, können aber je nach angewandter Modi</w:t>
            </w:r>
            <w:r w:rsidR="00374EF5">
              <w:rPr>
                <w:rFonts w:ascii="Arial Narrow" w:hAnsi="Arial Narrow"/>
                <w:sz w:val="22"/>
              </w:rPr>
              <w:t>f</w:t>
            </w:r>
            <w:r>
              <w:rPr>
                <w:rFonts w:ascii="Arial Narrow" w:hAnsi="Arial Narrow"/>
                <w:sz w:val="22"/>
              </w:rPr>
              <w:t>i</w:t>
            </w:r>
            <w:r w:rsidR="00374EF5">
              <w:rPr>
                <w:rFonts w:ascii="Arial Narrow" w:hAnsi="Arial Narrow"/>
                <w:sz w:val="22"/>
              </w:rPr>
              <w:t>z</w:t>
            </w:r>
            <w:r>
              <w:rPr>
                <w:rFonts w:ascii="Arial Narrow" w:hAnsi="Arial Narrow"/>
                <w:sz w:val="22"/>
              </w:rPr>
              <w:t xml:space="preserve">ierung auch gegen andere Malignome bzw. Erkrankungen eingesetzt werden.  </w:t>
            </w:r>
          </w:p>
        </w:tc>
      </w:tr>
    </w:tbl>
    <w:p w14:paraId="1448CD1A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54987EC" w14:textId="77777777">
        <w:tc>
          <w:tcPr>
            <w:tcW w:w="9212" w:type="dxa"/>
          </w:tcPr>
          <w:p w14:paraId="47F10B41" w14:textId="77777777" w:rsidR="008E6675" w:rsidRPr="005638EB" w:rsidRDefault="00983554" w:rsidP="005638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1.6</w:t>
            </w:r>
            <w:r w:rsidR="008E6675" w:rsidRPr="005638EB">
              <w:rPr>
                <w:rFonts w:ascii="Arial Narrow" w:hAnsi="Arial Narrow"/>
                <w:b/>
                <w:sz w:val="22"/>
              </w:rPr>
              <w:t xml:space="preserve"> Mit welchem OPS wird die Methode verschlüsselt?</w:t>
            </w:r>
          </w:p>
        </w:tc>
      </w:tr>
      <w:tr w:rsidR="008E6675" w:rsidRPr="005638EB" w14:paraId="5FEF049A" w14:textId="77777777">
        <w:tc>
          <w:tcPr>
            <w:tcW w:w="9212" w:type="dxa"/>
          </w:tcPr>
          <w:p w14:paraId="70F00AE6" w14:textId="77777777" w:rsidR="004C4F82" w:rsidRDefault="00776CF2" w:rsidP="00333592">
            <w:pPr>
              <w:rPr>
                <w:rFonts w:ascii="Arial Narrow" w:hAnsi="Arial Narrow"/>
                <w:sz w:val="22"/>
              </w:rPr>
            </w:pPr>
            <w:r w:rsidRPr="00D637FB">
              <w:rPr>
                <w:rFonts w:ascii="Arial Narrow" w:hAnsi="Arial Narrow"/>
                <w:sz w:val="22"/>
              </w:rPr>
              <w:t>8-802.24</w:t>
            </w:r>
          </w:p>
          <w:p w14:paraId="43DF132A" w14:textId="77777777" w:rsidR="00374EF5" w:rsidRPr="00983554" w:rsidRDefault="00374EF5" w:rsidP="0033359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8-802.34</w:t>
            </w:r>
          </w:p>
        </w:tc>
      </w:tr>
    </w:tbl>
    <w:p w14:paraId="6F9079AF" w14:textId="77777777" w:rsidR="00DC6CBD" w:rsidRDefault="00DC6CBD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5217ABE3" w14:textId="77777777" w:rsidTr="002F7726">
        <w:tc>
          <w:tcPr>
            <w:tcW w:w="9212" w:type="dxa"/>
          </w:tcPr>
          <w:p w14:paraId="14992470" w14:textId="77777777" w:rsidR="004C4F82" w:rsidRPr="005638EB" w:rsidRDefault="00983554" w:rsidP="002F77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1.7 </w:t>
            </w:r>
            <w:r w:rsidR="004C4F82" w:rsidRPr="004C4F82">
              <w:rPr>
                <w:rFonts w:ascii="Arial Narrow" w:hAnsi="Arial Narrow"/>
                <w:b/>
                <w:sz w:val="22"/>
              </w:rPr>
              <w:t xml:space="preserve">Anmerkungen zu den </w:t>
            </w:r>
            <w:proofErr w:type="spellStart"/>
            <w:r w:rsidR="004C4F82" w:rsidRPr="004C4F82">
              <w:rPr>
                <w:rFonts w:ascii="Arial Narrow" w:hAnsi="Arial Narrow"/>
                <w:b/>
                <w:sz w:val="22"/>
              </w:rPr>
              <w:t>Proceduren</w:t>
            </w:r>
            <w:proofErr w:type="spellEnd"/>
          </w:p>
        </w:tc>
      </w:tr>
      <w:tr w:rsidR="004C4F82" w:rsidRPr="007F255B" w14:paraId="3F4C0D76" w14:textId="77777777" w:rsidTr="002F7726">
        <w:tc>
          <w:tcPr>
            <w:tcW w:w="9212" w:type="dxa"/>
          </w:tcPr>
          <w:p w14:paraId="7129FD14" w14:textId="77777777" w:rsidR="00AF09BD" w:rsidRPr="00852B04" w:rsidRDefault="00AF09BD" w:rsidP="00AF09BD">
            <w:pPr>
              <w:rPr>
                <w:rFonts w:ascii="Arial Narrow" w:hAnsi="Arial Narrow"/>
                <w:sz w:val="22"/>
              </w:rPr>
            </w:pPr>
            <w:r w:rsidRPr="00852B04">
              <w:rPr>
                <w:rFonts w:ascii="Arial Narrow" w:hAnsi="Arial Narrow"/>
                <w:sz w:val="22"/>
              </w:rPr>
              <w:t>Zusatzkode entsprechend der Genehmigungen:</w:t>
            </w:r>
          </w:p>
          <w:p w14:paraId="72DECB65" w14:textId="77777777" w:rsidR="00AF09BD" w:rsidRPr="00852B04" w:rsidRDefault="00AF09BD" w:rsidP="00AF09BD">
            <w:pPr>
              <w:rPr>
                <w:rFonts w:ascii="Arial Narrow" w:hAnsi="Arial Narrow"/>
                <w:sz w:val="22"/>
              </w:rPr>
            </w:pPr>
            <w:r w:rsidRPr="00852B04">
              <w:rPr>
                <w:rFonts w:ascii="Arial Narrow" w:hAnsi="Arial Narrow"/>
                <w:sz w:val="22"/>
              </w:rPr>
              <w:t>5-936.0 Nationale Genehmigung</w:t>
            </w:r>
          </w:p>
          <w:p w14:paraId="682DC784" w14:textId="77777777" w:rsidR="00AF09BD" w:rsidRPr="00333592" w:rsidRDefault="00AF09BD" w:rsidP="00776CF2">
            <w:pPr>
              <w:rPr>
                <w:rFonts w:ascii="Arial Narrow" w:hAnsi="Arial Narrow"/>
                <w:sz w:val="22"/>
                <w:highlight w:val="green"/>
              </w:rPr>
            </w:pPr>
            <w:r w:rsidRPr="00852B04">
              <w:rPr>
                <w:rFonts w:ascii="Arial Narrow" w:hAnsi="Arial Narrow"/>
                <w:sz w:val="22"/>
              </w:rPr>
              <w:t>5-936.2 Herstellungserlaubnis nach § 13 Abs. 4 Arzneimittelgesetz</w:t>
            </w:r>
          </w:p>
        </w:tc>
      </w:tr>
    </w:tbl>
    <w:p w14:paraId="63AD4108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0F10BF9" w14:textId="77777777">
        <w:tc>
          <w:tcPr>
            <w:tcW w:w="9212" w:type="dxa"/>
          </w:tcPr>
          <w:p w14:paraId="08A4AF98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2.1 Bei welchen Patienten wird die Methode angewandt (Indikation)?</w:t>
            </w:r>
          </w:p>
        </w:tc>
      </w:tr>
      <w:tr w:rsidR="008E6675" w:rsidRPr="00FE1E35" w14:paraId="03AF3427" w14:textId="77777777">
        <w:tc>
          <w:tcPr>
            <w:tcW w:w="9212" w:type="dxa"/>
          </w:tcPr>
          <w:p w14:paraId="2A651A50" w14:textId="2B34DBC5" w:rsidR="00FE1E35" w:rsidRPr="00776CF2" w:rsidRDefault="00FE1E35" w:rsidP="00FE1E35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 xml:space="preserve">Patienten mit therapierefraktären </w:t>
            </w:r>
            <w:r w:rsidR="006E1DB4">
              <w:rPr>
                <w:rFonts w:ascii="Arial Narrow" w:hAnsi="Arial Narrow"/>
                <w:sz w:val="22"/>
              </w:rPr>
              <w:t>Erkrankungen</w:t>
            </w:r>
            <w:r w:rsidRPr="005E30AE">
              <w:rPr>
                <w:rFonts w:ascii="Arial Narrow" w:hAnsi="Arial Narrow"/>
                <w:sz w:val="22"/>
              </w:rPr>
              <w:t>, für die es keine alternativen Behandlungsmöglichkeiten gibt.</w:t>
            </w:r>
          </w:p>
        </w:tc>
      </w:tr>
    </w:tbl>
    <w:p w14:paraId="73705B69" w14:textId="77777777" w:rsidR="008E6675" w:rsidRPr="00FE1E3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26057F2" w14:textId="77777777">
        <w:trPr>
          <w:trHeight w:val="234"/>
        </w:trPr>
        <w:tc>
          <w:tcPr>
            <w:tcW w:w="9212" w:type="dxa"/>
          </w:tcPr>
          <w:p w14:paraId="386FC188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2.2 Welche bestehende Methode wird durch die neue Methode abgelöst oder ergänzt?</w:t>
            </w:r>
          </w:p>
        </w:tc>
      </w:tr>
      <w:tr w:rsidR="008E6675" w:rsidRPr="007F255B" w14:paraId="5D87B1C6" w14:textId="77777777">
        <w:tc>
          <w:tcPr>
            <w:tcW w:w="9212" w:type="dxa"/>
          </w:tcPr>
          <w:p w14:paraId="351ABB14" w14:textId="77777777" w:rsidR="008E6675" w:rsidRPr="007F255B" w:rsidRDefault="00FE1E35" w:rsidP="005B6D94">
            <w:pPr>
              <w:rPr>
                <w:rFonts w:ascii="Arial Narrow" w:hAnsi="Arial Narrow"/>
                <w:sz w:val="22"/>
                <w:szCs w:val="22"/>
              </w:rPr>
            </w:pPr>
            <w:r w:rsidRPr="005E30AE">
              <w:rPr>
                <w:rFonts w:ascii="Arial Narrow" w:hAnsi="Arial Narrow"/>
                <w:sz w:val="22"/>
              </w:rPr>
              <w:t xml:space="preserve">Es wird keine Methode abgelöst, sondern </w:t>
            </w:r>
            <w:r w:rsidR="005B6D94">
              <w:rPr>
                <w:rFonts w:ascii="Arial Narrow" w:hAnsi="Arial Narrow"/>
                <w:sz w:val="22"/>
              </w:rPr>
              <w:t>es handelt sich um</w:t>
            </w:r>
            <w:r w:rsidR="005B6D94" w:rsidRPr="005E30AE">
              <w:rPr>
                <w:rFonts w:ascii="Arial Narrow" w:hAnsi="Arial Narrow"/>
                <w:sz w:val="22"/>
              </w:rPr>
              <w:t xml:space="preserve"> </w:t>
            </w:r>
            <w:r w:rsidRPr="005E30AE">
              <w:rPr>
                <w:rFonts w:ascii="Arial Narrow" w:hAnsi="Arial Narrow"/>
                <w:sz w:val="22"/>
              </w:rPr>
              <w:t>eine Therapie für Patienten, bei denen bisher keine Therapie möglich war.</w:t>
            </w:r>
            <w:r w:rsidR="00374EF5">
              <w:rPr>
                <w:rFonts w:ascii="Arial Narrow" w:hAnsi="Arial Narrow"/>
                <w:sz w:val="22"/>
              </w:rPr>
              <w:t xml:space="preserve"> Oft werden die Eigenprodukte gegen hämatologische Erkrankungen eingesetzt, gegen die es keine EMA-zugelassenen CAR-T-Produkte gibt.</w:t>
            </w:r>
          </w:p>
        </w:tc>
      </w:tr>
    </w:tbl>
    <w:p w14:paraId="39BBEC05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994DFB5" w14:textId="77777777">
        <w:tc>
          <w:tcPr>
            <w:tcW w:w="9212" w:type="dxa"/>
          </w:tcPr>
          <w:p w14:paraId="795A55A7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2.3 Ist die Methode vollständig oder in Teilen neu und warum handelt es sich um eine neue Untersuchungs- und Behandlungsmethode?</w:t>
            </w:r>
          </w:p>
        </w:tc>
      </w:tr>
      <w:tr w:rsidR="008E6675" w:rsidRPr="005638EB" w14:paraId="73B301AE" w14:textId="77777777">
        <w:tc>
          <w:tcPr>
            <w:tcW w:w="9212" w:type="dxa"/>
          </w:tcPr>
          <w:p w14:paraId="7F56D5ED" w14:textId="77777777" w:rsidR="00374EF5" w:rsidRDefault="00FE1E35" w:rsidP="00E92C57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>Die Methode der CAR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E30AE">
              <w:rPr>
                <w:rFonts w:ascii="Arial Narrow" w:hAnsi="Arial Narrow"/>
                <w:sz w:val="22"/>
              </w:rPr>
              <w:t xml:space="preserve">T-Zell-Therapie gehört zur Gruppe der zellulären Immuntherapie und ist technisch mit den Verfahren der Transplantation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autologer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bzw.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allogener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hämatopoetischer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Stammzellen vergleichbar. Dabei kann sie keinem dieser beiden Verfahren gleichgesetzt werden, da zwar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autologe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 (T-)Zellen Verwendung finden, welche jedoch eine gentechnische Veränderung erfahren</w:t>
            </w:r>
            <w:r w:rsidR="005B6D94">
              <w:rPr>
                <w:rFonts w:ascii="Arial Narrow" w:hAnsi="Arial Narrow"/>
                <w:sz w:val="22"/>
              </w:rPr>
              <w:t xml:space="preserve"> und auch keine Stammzellen sind</w:t>
            </w:r>
            <w:r w:rsidRPr="005E30AE">
              <w:rPr>
                <w:rFonts w:ascii="Arial Narrow" w:hAnsi="Arial Narrow"/>
                <w:sz w:val="22"/>
              </w:rPr>
              <w:t xml:space="preserve">. </w:t>
            </w:r>
          </w:p>
          <w:p w14:paraId="4159E79F" w14:textId="77777777" w:rsidR="00625B01" w:rsidRDefault="00FE1E35" w:rsidP="00E92C57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 xml:space="preserve">Die Möglichkeit der Gabe genveränderter T-Zellen wurde erst in den letzten Jahren möglich durch die Einführung neuer </w:t>
            </w:r>
            <w:proofErr w:type="spellStart"/>
            <w:r w:rsidRPr="005E30AE">
              <w:rPr>
                <w:rFonts w:ascii="Arial Narrow" w:hAnsi="Arial Narrow"/>
                <w:sz w:val="22"/>
              </w:rPr>
              <w:t>Genkonstrukte</w:t>
            </w:r>
            <w:proofErr w:type="spellEnd"/>
            <w:r w:rsidRPr="005E30AE">
              <w:rPr>
                <w:rFonts w:ascii="Arial Narrow" w:hAnsi="Arial Narrow"/>
                <w:sz w:val="22"/>
              </w:rPr>
              <w:t xml:space="preserve">. Es handelt sich daher um eine vollkommen neue Behandlungsmethode. </w:t>
            </w:r>
          </w:p>
          <w:p w14:paraId="3117A8C9" w14:textId="7BE61CCE" w:rsidR="008E6675" w:rsidRPr="005638EB" w:rsidRDefault="00BB0A8F" w:rsidP="00C12787">
            <w:pPr>
              <w:rPr>
                <w:rFonts w:ascii="Arial Narrow" w:hAnsi="Arial Narrow"/>
              </w:rPr>
            </w:pPr>
            <w:r w:rsidRPr="00BB0A8F">
              <w:rPr>
                <w:rFonts w:ascii="Arial Narrow" w:hAnsi="Arial Narrow"/>
                <w:sz w:val="22"/>
              </w:rPr>
              <w:t xml:space="preserve">In den Informationen nach §6 Abs. 2 </w:t>
            </w:r>
            <w:proofErr w:type="spellStart"/>
            <w:r w:rsidRPr="00BB0A8F">
              <w:rPr>
                <w:rFonts w:ascii="Arial Narrow" w:hAnsi="Arial Narrow"/>
                <w:sz w:val="22"/>
              </w:rPr>
              <w:t>KHEntgG</w:t>
            </w:r>
            <w:proofErr w:type="spellEnd"/>
            <w:r w:rsidRPr="00BB0A8F">
              <w:rPr>
                <w:rFonts w:ascii="Arial Narrow" w:hAnsi="Arial Narrow"/>
                <w:sz w:val="22"/>
              </w:rPr>
              <w:t xml:space="preserve"> für </w:t>
            </w:r>
            <w:r w:rsidR="001F2899" w:rsidRPr="00BB0A8F">
              <w:rPr>
                <w:rFonts w:ascii="Arial Narrow" w:hAnsi="Arial Narrow"/>
                <w:sz w:val="22"/>
              </w:rPr>
              <w:t>20</w:t>
            </w:r>
            <w:r w:rsidR="001F2899">
              <w:rPr>
                <w:rFonts w:ascii="Arial Narrow" w:hAnsi="Arial Narrow"/>
                <w:sz w:val="22"/>
              </w:rPr>
              <w:t>20</w:t>
            </w:r>
            <w:r w:rsidR="001F2899" w:rsidRPr="00BB0A8F">
              <w:rPr>
                <w:rFonts w:ascii="Arial Narrow" w:hAnsi="Arial Narrow"/>
                <w:sz w:val="22"/>
              </w:rPr>
              <w:t xml:space="preserve"> </w:t>
            </w:r>
            <w:r w:rsidRPr="00BB0A8F">
              <w:rPr>
                <w:rFonts w:ascii="Arial Narrow" w:hAnsi="Arial Narrow"/>
                <w:sz w:val="22"/>
              </w:rPr>
              <w:t>hatte die Gabe von CAR (</w:t>
            </w:r>
            <w:proofErr w:type="spellStart"/>
            <w:r w:rsidRPr="00BB0A8F">
              <w:rPr>
                <w:rFonts w:ascii="Arial Narrow" w:hAnsi="Arial Narrow"/>
                <w:sz w:val="22"/>
              </w:rPr>
              <w:t>Chimärer</w:t>
            </w:r>
            <w:proofErr w:type="spellEnd"/>
            <w:r w:rsidRPr="00BB0A8F">
              <w:rPr>
                <w:rFonts w:ascii="Arial Narrow" w:hAnsi="Arial Narrow"/>
                <w:sz w:val="22"/>
              </w:rPr>
              <w:t xml:space="preserve"> Antigen Rezeptoren) T-Zellen zur Behandlung hämatologischer Erkrankungen den Status </w:t>
            </w:r>
            <w:r w:rsidR="00F0474D">
              <w:rPr>
                <w:rFonts w:ascii="Arial Narrow" w:hAnsi="Arial Narrow"/>
                <w:sz w:val="22"/>
              </w:rPr>
              <w:t>1</w:t>
            </w:r>
            <w:r w:rsidR="00F0474D" w:rsidRPr="00BB0A8F">
              <w:rPr>
                <w:rFonts w:ascii="Arial Narrow" w:hAnsi="Arial Narrow"/>
                <w:sz w:val="22"/>
              </w:rPr>
              <w:t xml:space="preserve"> </w:t>
            </w:r>
            <w:r w:rsidRPr="00BB0A8F">
              <w:rPr>
                <w:rFonts w:ascii="Arial Narrow" w:hAnsi="Arial Narrow"/>
                <w:sz w:val="22"/>
              </w:rPr>
              <w:t xml:space="preserve">(Position </w:t>
            </w:r>
            <w:r w:rsidR="00C12787">
              <w:rPr>
                <w:rFonts w:ascii="Arial Narrow" w:hAnsi="Arial Narrow"/>
                <w:sz w:val="22"/>
              </w:rPr>
              <w:t>152</w:t>
            </w:r>
            <w:r w:rsidR="00C12787" w:rsidRPr="00BB0A8F">
              <w:rPr>
                <w:rFonts w:ascii="Arial Narrow" w:hAnsi="Arial Narrow"/>
                <w:sz w:val="22"/>
              </w:rPr>
              <w:t xml:space="preserve"> </w:t>
            </w:r>
            <w:r w:rsidRPr="00BB0A8F">
              <w:rPr>
                <w:rFonts w:ascii="Arial Narrow" w:hAnsi="Arial Narrow"/>
                <w:sz w:val="22"/>
              </w:rPr>
              <w:t xml:space="preserve">der NUB-Liste </w:t>
            </w:r>
            <w:r w:rsidR="00C12787" w:rsidRPr="00BB0A8F">
              <w:rPr>
                <w:rFonts w:ascii="Arial Narrow" w:hAnsi="Arial Narrow"/>
                <w:sz w:val="22"/>
              </w:rPr>
              <w:t>20</w:t>
            </w:r>
            <w:r w:rsidR="00C12787">
              <w:rPr>
                <w:rFonts w:ascii="Arial Narrow" w:hAnsi="Arial Narrow"/>
                <w:sz w:val="22"/>
              </w:rPr>
              <w:t>22</w:t>
            </w:r>
            <w:r w:rsidR="004D0C92">
              <w:rPr>
                <w:rFonts w:ascii="Arial Narrow" w:hAnsi="Arial Narrow"/>
                <w:sz w:val="22"/>
              </w:rPr>
              <w:t>)</w:t>
            </w:r>
            <w:bookmarkStart w:id="0" w:name="_GoBack"/>
            <w:bookmarkEnd w:id="0"/>
          </w:p>
        </w:tc>
      </w:tr>
    </w:tbl>
    <w:p w14:paraId="3554682C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AF67200" w14:textId="77777777">
        <w:tc>
          <w:tcPr>
            <w:tcW w:w="9212" w:type="dxa"/>
          </w:tcPr>
          <w:p w14:paraId="022D327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2.4 Welche Auswirkungen hat die Methode auf die Verweildauer im Krankenhaus?</w:t>
            </w:r>
          </w:p>
        </w:tc>
      </w:tr>
      <w:tr w:rsidR="008E6675" w:rsidRPr="005638EB" w14:paraId="7FEE97D9" w14:textId="77777777">
        <w:trPr>
          <w:trHeight w:val="264"/>
        </w:trPr>
        <w:tc>
          <w:tcPr>
            <w:tcW w:w="9212" w:type="dxa"/>
          </w:tcPr>
          <w:p w14:paraId="7B803141" w14:textId="77777777" w:rsidR="00A530BE" w:rsidRPr="005638EB" w:rsidRDefault="008E6675" w:rsidP="0010382E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lastRenderedPageBreak/>
              <w:t>Zur Veränderung der Verweildauer im Krankenhaus können derzeit aufgrund fehlender Erfahrungen keine Aussagen gemacht werden</w:t>
            </w:r>
            <w:r w:rsidR="0010382E">
              <w:rPr>
                <w:rFonts w:ascii="Arial Narrow" w:hAnsi="Arial Narrow"/>
                <w:sz w:val="22"/>
              </w:rPr>
              <w:t xml:space="preserve">. Der stationäre Aufenthalt </w:t>
            </w:r>
            <w:r w:rsidR="00776CF2">
              <w:rPr>
                <w:rFonts w:ascii="Arial Narrow" w:hAnsi="Arial Narrow"/>
                <w:sz w:val="22"/>
              </w:rPr>
              <w:t xml:space="preserve">beträgt jedoch meist zwischen 2 und 4 Wochen. </w:t>
            </w:r>
          </w:p>
        </w:tc>
      </w:tr>
    </w:tbl>
    <w:p w14:paraId="7F446F2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4B406CE" w14:textId="77777777">
        <w:tc>
          <w:tcPr>
            <w:tcW w:w="9212" w:type="dxa"/>
          </w:tcPr>
          <w:p w14:paraId="7F69B0E4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3.1 Wann wurde diese Methode in Deutschland eingeführt?</w:t>
            </w:r>
          </w:p>
        </w:tc>
      </w:tr>
      <w:tr w:rsidR="008E6675" w:rsidRPr="007F255B" w14:paraId="13E9DF8D" w14:textId="77777777">
        <w:tc>
          <w:tcPr>
            <w:tcW w:w="9212" w:type="dxa"/>
          </w:tcPr>
          <w:p w14:paraId="5975B692" w14:textId="77777777" w:rsidR="008E6675" w:rsidRPr="007F255B" w:rsidRDefault="003F3159" w:rsidP="00FE1E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2018</w:t>
            </w:r>
            <w:r w:rsidR="00776CF2">
              <w:rPr>
                <w:rFonts w:ascii="Arial Narrow" w:hAnsi="Arial Narrow"/>
                <w:sz w:val="22"/>
              </w:rPr>
              <w:t xml:space="preserve"> in spezialisierten Zentren</w:t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</w:tr>
    </w:tbl>
    <w:p w14:paraId="0E31D5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E29220A" w14:textId="77777777">
        <w:tc>
          <w:tcPr>
            <w:tcW w:w="9212" w:type="dxa"/>
          </w:tcPr>
          <w:p w14:paraId="28E7C2CE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3.2 Bei Medikamenten: Wann wurde dieses Medikament zugelassen?</w:t>
            </w:r>
          </w:p>
        </w:tc>
      </w:tr>
      <w:tr w:rsidR="008E6675" w:rsidRPr="005B6D94" w14:paraId="3D9A3BFB" w14:textId="77777777">
        <w:tc>
          <w:tcPr>
            <w:tcW w:w="9212" w:type="dxa"/>
          </w:tcPr>
          <w:p w14:paraId="6B0BC53A" w14:textId="77777777" w:rsidR="008E6675" w:rsidRPr="005B6D94" w:rsidRDefault="00776CF2" w:rsidP="0010382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Die Kliniken, die diese Therapie durchführen</w:t>
            </w:r>
            <w:r w:rsidR="0010382E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haben individuell eine </w:t>
            </w:r>
            <w:r w:rsidR="0010382E">
              <w:rPr>
                <w:rFonts w:ascii="Arial Narrow" w:hAnsi="Arial Narrow"/>
                <w:sz w:val="22"/>
              </w:rPr>
              <w:t xml:space="preserve">Genehmigung </w:t>
            </w:r>
            <w:r w:rsidR="003F3159">
              <w:rPr>
                <w:rFonts w:ascii="Arial Narrow" w:hAnsi="Arial Narrow"/>
                <w:sz w:val="22"/>
              </w:rPr>
              <w:t xml:space="preserve">des PEI </w:t>
            </w:r>
            <w:r>
              <w:rPr>
                <w:rFonts w:ascii="Arial Narrow" w:hAnsi="Arial Narrow"/>
                <w:sz w:val="22"/>
              </w:rPr>
              <w:t>zur Herstellung der Produkte</w:t>
            </w:r>
            <w:r w:rsidR="00AF09BD">
              <w:rPr>
                <w:rFonts w:ascii="Arial Narrow" w:hAnsi="Arial Narrow"/>
                <w:sz w:val="22"/>
              </w:rPr>
              <w:t xml:space="preserve"> nach AMG</w:t>
            </w:r>
            <w:r w:rsidR="0010382E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60FBD40A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E54FD3" w14:textId="77777777">
        <w:tc>
          <w:tcPr>
            <w:tcW w:w="9212" w:type="dxa"/>
          </w:tcPr>
          <w:p w14:paraId="380264E4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3.3 Wann wurde die Methode in Ihrem Krankenhaus eingeführt?</w:t>
            </w:r>
          </w:p>
        </w:tc>
      </w:tr>
      <w:tr w:rsidR="008E6675" w:rsidRPr="005638EB" w14:paraId="447D9B0A" w14:textId="77777777">
        <w:tc>
          <w:tcPr>
            <w:tcW w:w="9212" w:type="dxa"/>
          </w:tcPr>
          <w:p w14:paraId="4E34390E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21B19704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E3C85B" w14:textId="77777777">
        <w:tc>
          <w:tcPr>
            <w:tcW w:w="9212" w:type="dxa"/>
          </w:tcPr>
          <w:p w14:paraId="34FB39C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3.4 In wie vielen Kliniken wird diese Methode derzeit eingesetzt (Schätzung)?</w:t>
            </w:r>
          </w:p>
        </w:tc>
      </w:tr>
      <w:tr w:rsidR="008E6675" w:rsidRPr="005638EB" w14:paraId="38638382" w14:textId="77777777">
        <w:tc>
          <w:tcPr>
            <w:tcW w:w="9212" w:type="dxa"/>
          </w:tcPr>
          <w:p w14:paraId="518A0EB8" w14:textId="77777777" w:rsidR="008E6675" w:rsidRPr="00625B01" w:rsidRDefault="00FE1E35" w:rsidP="00776CF2">
            <w:pPr>
              <w:rPr>
                <w:rFonts w:ascii="Arial Narrow" w:hAnsi="Arial Narrow"/>
                <w:sz w:val="22"/>
                <w:szCs w:val="22"/>
              </w:rPr>
            </w:pPr>
            <w:r w:rsidRPr="00625B01">
              <w:rPr>
                <w:rFonts w:ascii="Arial Narrow" w:hAnsi="Arial Narrow"/>
                <w:sz w:val="22"/>
                <w:szCs w:val="22"/>
              </w:rPr>
              <w:t xml:space="preserve">In </w:t>
            </w:r>
            <w:proofErr w:type="spellStart"/>
            <w:r w:rsidRPr="00625B01">
              <w:rPr>
                <w:rFonts w:ascii="Arial Narrow" w:hAnsi="Arial Narrow"/>
                <w:sz w:val="22"/>
                <w:szCs w:val="22"/>
              </w:rPr>
              <w:t>ca</w:t>
            </w:r>
            <w:proofErr w:type="spellEnd"/>
            <w:r w:rsidRPr="00625B01">
              <w:rPr>
                <w:rFonts w:ascii="Arial Narrow" w:hAnsi="Arial Narrow"/>
                <w:sz w:val="22"/>
                <w:szCs w:val="22"/>
              </w:rPr>
              <w:t xml:space="preserve"> 5-10 Zentren mit der entsprechenden Möglichkeit zur </w:t>
            </w:r>
            <w:r w:rsidR="005B6D94" w:rsidRPr="00625B01">
              <w:rPr>
                <w:rFonts w:ascii="Arial Narrow" w:hAnsi="Arial Narrow"/>
                <w:sz w:val="22"/>
                <w:szCs w:val="22"/>
              </w:rPr>
              <w:t>Eigen-</w:t>
            </w:r>
            <w:r w:rsidRPr="00625B01">
              <w:rPr>
                <w:rFonts w:ascii="Arial Narrow" w:hAnsi="Arial Narrow"/>
                <w:sz w:val="22"/>
                <w:szCs w:val="22"/>
              </w:rPr>
              <w:t>Herstellung der CAR T-Zellen</w:t>
            </w:r>
            <w:r w:rsidR="00C06E63" w:rsidRPr="00625B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5CB8E3D2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BBF340" w14:textId="77777777">
        <w:tc>
          <w:tcPr>
            <w:tcW w:w="9212" w:type="dxa"/>
          </w:tcPr>
          <w:p w14:paraId="3C08E813" w14:textId="05CE1506" w:rsidR="008E6675" w:rsidRPr="005638EB" w:rsidRDefault="008E6675" w:rsidP="00C12787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3.5 Wie viele Patienten wur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den in Ihrem Krankenhaus in </w:t>
            </w:r>
            <w:r w:rsidR="00C12787">
              <w:rPr>
                <w:rFonts w:ascii="Arial Narrow" w:hAnsi="Arial Narrow"/>
                <w:b/>
                <w:sz w:val="22"/>
              </w:rPr>
              <w:t xml:space="preserve">2021 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oder in </w:t>
            </w:r>
            <w:r w:rsidR="00C12787">
              <w:rPr>
                <w:rFonts w:ascii="Arial Narrow" w:hAnsi="Arial Narrow"/>
                <w:b/>
                <w:sz w:val="22"/>
              </w:rPr>
              <w:t>2022</w:t>
            </w:r>
            <w:r w:rsidR="00C12787" w:rsidRPr="008C1686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mit dieser Methode behandelt?</w:t>
            </w:r>
          </w:p>
        </w:tc>
      </w:tr>
      <w:tr w:rsidR="008E6675" w:rsidRPr="005638EB" w14:paraId="03CB54FE" w14:textId="77777777">
        <w:tc>
          <w:tcPr>
            <w:tcW w:w="9212" w:type="dxa"/>
          </w:tcPr>
          <w:p w14:paraId="116FA9A2" w14:textId="4E093855" w:rsidR="008E6675" w:rsidRPr="005638EB" w:rsidRDefault="008E6675" w:rsidP="00C12787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 xml:space="preserve">In </w:t>
            </w:r>
            <w:r w:rsidR="00C12787">
              <w:rPr>
                <w:rFonts w:ascii="Arial Narrow" w:hAnsi="Arial Narrow"/>
              </w:rPr>
              <w:t>2021</w:t>
            </w:r>
          </w:p>
        </w:tc>
      </w:tr>
      <w:tr w:rsidR="00983554" w:rsidRPr="005638EB" w14:paraId="479A54EA" w14:textId="77777777">
        <w:tc>
          <w:tcPr>
            <w:tcW w:w="9212" w:type="dxa"/>
          </w:tcPr>
          <w:p w14:paraId="2A883D09" w14:textId="77777777" w:rsidR="00983554" w:rsidRPr="005638EB" w:rsidRDefault="00983554" w:rsidP="002F7726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5638EB" w14:paraId="6E83D55A" w14:textId="77777777">
        <w:tc>
          <w:tcPr>
            <w:tcW w:w="9212" w:type="dxa"/>
          </w:tcPr>
          <w:p w14:paraId="06B87C43" w14:textId="1C32D02C" w:rsidR="008E6675" w:rsidRPr="005638EB" w:rsidRDefault="008E6675" w:rsidP="00C12787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 xml:space="preserve">In </w:t>
            </w:r>
            <w:r w:rsidR="00C12787">
              <w:rPr>
                <w:rFonts w:ascii="Arial Narrow" w:hAnsi="Arial Narrow"/>
              </w:rPr>
              <w:t>2022</w:t>
            </w:r>
          </w:p>
        </w:tc>
      </w:tr>
      <w:tr w:rsidR="00983554" w:rsidRPr="005638EB" w14:paraId="65980222" w14:textId="77777777">
        <w:tc>
          <w:tcPr>
            <w:tcW w:w="9212" w:type="dxa"/>
          </w:tcPr>
          <w:p w14:paraId="529CD4AE" w14:textId="77777777" w:rsidR="00983554" w:rsidRPr="005638EB" w:rsidRDefault="00983554" w:rsidP="002F7726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1396B3E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0258716" w14:textId="77777777">
        <w:tc>
          <w:tcPr>
            <w:tcW w:w="9212" w:type="dxa"/>
          </w:tcPr>
          <w:p w14:paraId="1780B828" w14:textId="27FCB56B" w:rsidR="008E6675" w:rsidRPr="005638EB" w:rsidRDefault="008E6675" w:rsidP="00C12787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 xml:space="preserve">3.6 </w:t>
            </w: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 xml:space="preserve">atienten planen Sie im Jahr </w:t>
            </w:r>
            <w:r w:rsidR="00C12787">
              <w:rPr>
                <w:rFonts w:ascii="Arial Narrow" w:hAnsi="Arial Narrow"/>
                <w:b/>
                <w:sz w:val="22"/>
              </w:rPr>
              <w:t>2023</w:t>
            </w:r>
            <w:r w:rsidR="00C12787" w:rsidRPr="008C1686">
              <w:rPr>
                <w:rFonts w:ascii="Arial Narrow" w:hAnsi="Arial Narrow"/>
                <w:b/>
                <w:sz w:val="22"/>
              </w:rPr>
              <w:t xml:space="preserve"> </w:t>
            </w:r>
            <w:r w:rsidRPr="008C1686">
              <w:rPr>
                <w:rFonts w:ascii="Arial Narrow" w:hAnsi="Arial Narrow"/>
                <w:b/>
                <w:sz w:val="22"/>
              </w:rPr>
              <w:t>mit dieser Methode zu behandeln?</w:t>
            </w:r>
          </w:p>
        </w:tc>
      </w:tr>
      <w:tr w:rsidR="00983554" w:rsidRPr="005638EB" w14:paraId="1EF540B6" w14:textId="77777777">
        <w:tc>
          <w:tcPr>
            <w:tcW w:w="9212" w:type="dxa"/>
          </w:tcPr>
          <w:p w14:paraId="7ABC2570" w14:textId="77777777" w:rsidR="00983554" w:rsidRPr="005638EB" w:rsidRDefault="00983554" w:rsidP="002F7726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41C045E2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5CAD349" w14:textId="77777777">
        <w:tc>
          <w:tcPr>
            <w:tcW w:w="9212" w:type="dxa"/>
          </w:tcPr>
          <w:p w14:paraId="0845B8AF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4.1 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744E326" w14:textId="77777777">
        <w:tc>
          <w:tcPr>
            <w:tcW w:w="9212" w:type="dxa"/>
          </w:tcPr>
          <w:p w14:paraId="01187CD4" w14:textId="77777777" w:rsidR="00C06E63" w:rsidRPr="005E30AE" w:rsidRDefault="00C06E63" w:rsidP="00C06E63">
            <w:pPr>
              <w:rPr>
                <w:rFonts w:ascii="Arial Narrow" w:hAnsi="Arial Narrow"/>
                <w:sz w:val="22"/>
              </w:rPr>
            </w:pPr>
            <w:r w:rsidRPr="005E30AE">
              <w:rPr>
                <w:rFonts w:ascii="Arial Narrow" w:hAnsi="Arial Narrow"/>
                <w:sz w:val="22"/>
              </w:rPr>
              <w:t>Kosten für die Herstellung der CAR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E30AE">
              <w:rPr>
                <w:rFonts w:ascii="Arial Narrow" w:hAnsi="Arial Narrow"/>
                <w:sz w:val="22"/>
              </w:rPr>
              <w:t>T Zellen im GMP-Labor:</w:t>
            </w:r>
          </w:p>
          <w:p w14:paraId="2379744F" w14:textId="77777777" w:rsidR="00776CF2" w:rsidRDefault="00776CF2" w:rsidP="00C06E63">
            <w:pPr>
              <w:tabs>
                <w:tab w:val="right" w:pos="8505"/>
                <w:tab w:val="right" w:pos="8931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056FC362" w14:textId="77777777" w:rsidR="00776CF2" w:rsidRPr="0010382E" w:rsidRDefault="00776CF2" w:rsidP="00C06E63">
            <w:pPr>
              <w:tabs>
                <w:tab w:val="right" w:pos="8505"/>
                <w:tab w:val="right" w:pos="8931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0382E">
              <w:rPr>
                <w:rFonts w:ascii="Arial Narrow" w:hAnsi="Arial Narrow" w:cs="Arial"/>
                <w:sz w:val="22"/>
                <w:szCs w:val="22"/>
              </w:rPr>
              <w:t xml:space="preserve">Die Kosten für die Herstellung der CAR-T-Zellen sind je nach Klinik sehr unterschiedlich, da teilweise die Kosten im Forschungslabor, teilweise in der Routineanwendung entstehen. Auch hängen die Kosten von der Anzahl der behandelten Patienten ab. </w:t>
            </w:r>
            <w:r w:rsidR="00333592">
              <w:rPr>
                <w:rFonts w:ascii="Arial Narrow" w:hAnsi="Arial Narrow" w:cs="Arial"/>
                <w:sz w:val="22"/>
                <w:szCs w:val="22"/>
              </w:rPr>
              <w:t>Für das Betreiben entsprechender GMP-Einrichtungen fallen sehr hohe Fixkosten an, die entsprechend der Fallzahl sehr unterschiedlich auf die Einzelkosten wirken.</w:t>
            </w:r>
          </w:p>
          <w:p w14:paraId="2BA74CEC" w14:textId="77777777" w:rsidR="00C06E63" w:rsidRPr="0010382E" w:rsidRDefault="00776CF2" w:rsidP="00776CF2">
            <w:pPr>
              <w:tabs>
                <w:tab w:val="right" w:pos="8505"/>
                <w:tab w:val="right" w:pos="8931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0382E">
              <w:rPr>
                <w:rFonts w:ascii="Arial Narrow" w:hAnsi="Arial Narrow" w:cs="Arial"/>
                <w:sz w:val="22"/>
                <w:szCs w:val="22"/>
              </w:rPr>
              <w:t xml:space="preserve">Es ist zu erwarten, dass sie </w:t>
            </w:r>
            <w:r w:rsidR="003F3159">
              <w:rPr>
                <w:rFonts w:ascii="Arial Narrow" w:hAnsi="Arial Narrow" w:cs="Arial"/>
                <w:sz w:val="22"/>
                <w:szCs w:val="22"/>
              </w:rPr>
              <w:t xml:space="preserve">etwas </w:t>
            </w:r>
            <w:r w:rsidRPr="0010382E">
              <w:rPr>
                <w:rFonts w:ascii="Arial Narrow" w:hAnsi="Arial Narrow" w:cs="Arial"/>
                <w:sz w:val="22"/>
                <w:szCs w:val="22"/>
              </w:rPr>
              <w:t xml:space="preserve">niedriger sind als die kommerziell erhältlichen Produkte (Kosten hier ca. </w:t>
            </w:r>
            <w:r w:rsidR="00F0474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F3159">
              <w:rPr>
                <w:rFonts w:ascii="Arial Narrow" w:hAnsi="Arial Narrow" w:cs="Arial"/>
                <w:sz w:val="22"/>
                <w:szCs w:val="22"/>
              </w:rPr>
              <w:t>75</w:t>
            </w:r>
            <w:r w:rsidR="00F0474D" w:rsidRPr="001038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0382E" w:rsidRPr="0010382E">
              <w:rPr>
                <w:rFonts w:ascii="Arial Narrow" w:hAnsi="Arial Narrow" w:cs="Arial"/>
                <w:sz w:val="22"/>
                <w:szCs w:val="22"/>
              </w:rPr>
              <w:t>000</w:t>
            </w:r>
            <w:r w:rsidRPr="0010382E">
              <w:rPr>
                <w:rFonts w:ascii="Arial Narrow" w:hAnsi="Arial Narrow" w:cs="Arial"/>
                <w:sz w:val="22"/>
                <w:szCs w:val="22"/>
              </w:rPr>
              <w:t xml:space="preserve"> bis </w:t>
            </w:r>
            <w:r w:rsidR="003F3159">
              <w:rPr>
                <w:rFonts w:ascii="Arial Narrow" w:hAnsi="Arial Narrow" w:cs="Arial"/>
                <w:sz w:val="22"/>
                <w:szCs w:val="22"/>
              </w:rPr>
              <w:t>282</w:t>
            </w:r>
            <w:r w:rsidR="00F0474D" w:rsidRPr="001038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382E">
              <w:rPr>
                <w:rFonts w:ascii="Arial Narrow" w:hAnsi="Arial Narrow" w:cs="Arial"/>
                <w:sz w:val="22"/>
                <w:szCs w:val="22"/>
              </w:rPr>
              <w:t xml:space="preserve">000€), zumal der transatlantische Transport entfällt. </w:t>
            </w:r>
          </w:p>
          <w:p w14:paraId="4C3ED269" w14:textId="77777777" w:rsidR="00F51FCD" w:rsidRPr="0010382E" w:rsidRDefault="00F51FCD" w:rsidP="00776CF2">
            <w:pPr>
              <w:tabs>
                <w:tab w:val="right" w:pos="8505"/>
                <w:tab w:val="right" w:pos="8931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14:paraId="211AF215" w14:textId="77777777" w:rsidR="007823FE" w:rsidRPr="00BB0A8F" w:rsidRDefault="007823FE" w:rsidP="007823F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B0A8F">
              <w:rPr>
                <w:rFonts w:ascii="Arial Narrow" w:hAnsi="Arial Narrow" w:cs="Arial"/>
                <w:sz w:val="22"/>
                <w:szCs w:val="22"/>
              </w:rPr>
              <w:t>Personalkosten zur endgültigen Applikation der Zellen:</w:t>
            </w:r>
          </w:p>
          <w:p w14:paraId="21C5C907" w14:textId="77777777" w:rsidR="007823FE" w:rsidRPr="00BB0A8F" w:rsidRDefault="007823FE" w:rsidP="007823FE">
            <w:pPr>
              <w:rPr>
                <w:rFonts w:ascii="Arial Narrow" w:hAnsi="Arial Narrow"/>
                <w:sz w:val="22"/>
                <w:szCs w:val="22"/>
              </w:rPr>
            </w:pPr>
            <w:r w:rsidRPr="00BB0A8F">
              <w:rPr>
                <w:rFonts w:ascii="Arial Narrow" w:hAnsi="Arial Narrow"/>
                <w:sz w:val="22"/>
                <w:szCs w:val="22"/>
              </w:rPr>
              <w:t>Für das Auftauen der Zellen: ca. 5 Minuten (ÄD</w:t>
            </w:r>
          </w:p>
          <w:p w14:paraId="3BBDCA44" w14:textId="77777777" w:rsidR="007823FE" w:rsidRPr="00BB0A8F" w:rsidRDefault="007823FE" w:rsidP="007823FE">
            <w:pPr>
              <w:rPr>
                <w:rFonts w:ascii="Arial Narrow" w:hAnsi="Arial Narrow"/>
                <w:sz w:val="22"/>
                <w:szCs w:val="22"/>
              </w:rPr>
            </w:pPr>
            <w:r w:rsidRPr="00BB0A8F">
              <w:rPr>
                <w:rFonts w:ascii="Arial Narrow" w:hAnsi="Arial Narrow"/>
                <w:sz w:val="22"/>
                <w:szCs w:val="22"/>
              </w:rPr>
              <w:t>Für die Applikation: ca. 30 Minuten (ÄD) und ca. 30 Minuten (PD)</w:t>
            </w:r>
          </w:p>
          <w:p w14:paraId="7B05596F" w14:textId="77777777" w:rsidR="00F51FCD" w:rsidRPr="007823FE" w:rsidRDefault="007823FE" w:rsidP="007823F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B0A8F">
              <w:rPr>
                <w:rFonts w:ascii="Arial Narrow" w:hAnsi="Arial Narrow"/>
                <w:sz w:val="22"/>
                <w:szCs w:val="22"/>
              </w:rPr>
              <w:t>Für die Überwachung: ca. 120 Minuten (PD)</w:t>
            </w:r>
          </w:p>
        </w:tc>
      </w:tr>
    </w:tbl>
    <w:p w14:paraId="48CAEAF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15DBBF9" w14:textId="77777777">
        <w:tc>
          <w:tcPr>
            <w:tcW w:w="9212" w:type="dxa"/>
          </w:tcPr>
          <w:p w14:paraId="2BA4EE7B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4.2 Welche DRG(s) ist/sind am häufigsten von dieser Methode betroffen?</w:t>
            </w:r>
          </w:p>
        </w:tc>
      </w:tr>
      <w:tr w:rsidR="008E6675" w:rsidRPr="005638EB" w14:paraId="108EDC3E" w14:textId="77777777">
        <w:tc>
          <w:tcPr>
            <w:tcW w:w="9212" w:type="dxa"/>
          </w:tcPr>
          <w:p w14:paraId="340130C0" w14:textId="77777777" w:rsidR="003F3159" w:rsidRDefault="003F3159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A36</w:t>
            </w:r>
          </w:p>
          <w:p w14:paraId="2CB801CE" w14:textId="77777777" w:rsidR="008E6675" w:rsidRPr="00B21641" w:rsidRDefault="005B6D94" w:rsidP="005638EB">
            <w:pPr>
              <w:rPr>
                <w:rFonts w:ascii="Arial Narrow" w:hAnsi="Arial Narrow"/>
                <w:sz w:val="22"/>
              </w:rPr>
            </w:pPr>
            <w:r w:rsidRPr="00B21641">
              <w:rPr>
                <w:rFonts w:ascii="Arial Narrow" w:hAnsi="Arial Narrow"/>
                <w:sz w:val="22"/>
              </w:rPr>
              <w:t>R63</w:t>
            </w:r>
          </w:p>
          <w:p w14:paraId="2A29FD53" w14:textId="77777777" w:rsidR="005B6D94" w:rsidRDefault="005B6D94" w:rsidP="005638EB">
            <w:pPr>
              <w:rPr>
                <w:rFonts w:ascii="Arial Narrow" w:hAnsi="Arial Narrow"/>
                <w:sz w:val="22"/>
              </w:rPr>
            </w:pPr>
            <w:r w:rsidRPr="00B21641">
              <w:rPr>
                <w:rFonts w:ascii="Arial Narrow" w:hAnsi="Arial Narrow"/>
                <w:sz w:val="22"/>
              </w:rPr>
              <w:t>R61</w:t>
            </w:r>
          </w:p>
          <w:p w14:paraId="27E8298D" w14:textId="77777777" w:rsidR="00776CF2" w:rsidRPr="00A100DC" w:rsidRDefault="00776CF2" w:rsidP="005638EB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>R60</w:t>
            </w:r>
          </w:p>
        </w:tc>
      </w:tr>
    </w:tbl>
    <w:p w14:paraId="53A3FE14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002193" w14:textId="77777777">
        <w:tc>
          <w:tcPr>
            <w:tcW w:w="9212" w:type="dxa"/>
          </w:tcPr>
          <w:p w14:paraId="55573103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>.3 Warum ist diese Methode aus Ihrer Sicht derzeit im G-DRG-System nicht sachgerecht abgebildet?</w:t>
            </w:r>
          </w:p>
        </w:tc>
      </w:tr>
      <w:tr w:rsidR="008E6675" w:rsidRPr="005638EB" w14:paraId="30D19752" w14:textId="77777777">
        <w:tc>
          <w:tcPr>
            <w:tcW w:w="9212" w:type="dxa"/>
          </w:tcPr>
          <w:p w14:paraId="5914C3F1" w14:textId="24C88870" w:rsidR="00C06E63" w:rsidRPr="00B450EB" w:rsidRDefault="00C06E63" w:rsidP="00C06E63">
            <w:pPr>
              <w:rPr>
                <w:rFonts w:ascii="Arial Narrow" w:hAnsi="Arial Narrow"/>
                <w:sz w:val="22"/>
                <w:szCs w:val="22"/>
              </w:rPr>
            </w:pPr>
            <w:r w:rsidRPr="00B450EB">
              <w:rPr>
                <w:rFonts w:ascii="Arial Narrow" w:hAnsi="Arial Narrow"/>
                <w:sz w:val="22"/>
                <w:szCs w:val="22"/>
              </w:rPr>
              <w:t xml:space="preserve">CAR T-Zellen wurden bisher nur in Studien angewandt. Für das Datenjahr </w:t>
            </w:r>
            <w:r w:rsidR="0031107C">
              <w:rPr>
                <w:rFonts w:ascii="Arial Narrow" w:hAnsi="Arial Narrow"/>
                <w:sz w:val="22"/>
                <w:szCs w:val="22"/>
              </w:rPr>
              <w:t>202</w:t>
            </w:r>
            <w:r w:rsidR="00886C22">
              <w:rPr>
                <w:rFonts w:ascii="Arial Narrow" w:hAnsi="Arial Narrow"/>
                <w:sz w:val="22"/>
                <w:szCs w:val="22"/>
              </w:rPr>
              <w:t>1</w:t>
            </w:r>
            <w:r w:rsidR="001F2899" w:rsidRPr="00B450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können aus den Kalkulationshäusern keine ausreichenden Kostendaten für den Einsatz vorliegen. </w:t>
            </w:r>
            <w:r w:rsidR="0031107C">
              <w:rPr>
                <w:rFonts w:ascii="Arial Narrow" w:hAnsi="Arial Narrow"/>
                <w:sz w:val="22"/>
                <w:szCs w:val="22"/>
              </w:rPr>
              <w:t>Es wurden nur wenige</w:t>
            </w:r>
            <w:r w:rsidR="003F3159">
              <w:rPr>
                <w:rFonts w:ascii="Arial Narrow" w:hAnsi="Arial Narrow"/>
                <w:sz w:val="22"/>
                <w:szCs w:val="22"/>
              </w:rPr>
              <w:t xml:space="preserve"> Fälle mit Eigenprodukten aus dem UK Heidelberg an das </w:t>
            </w:r>
            <w:proofErr w:type="spellStart"/>
            <w:r w:rsidR="003F3159">
              <w:rPr>
                <w:rFonts w:ascii="Arial Narrow" w:hAnsi="Arial Narrow"/>
                <w:sz w:val="22"/>
                <w:szCs w:val="22"/>
              </w:rPr>
              <w:t>InEK</w:t>
            </w:r>
            <w:proofErr w:type="spellEnd"/>
            <w:r w:rsidR="003F3159">
              <w:rPr>
                <w:rFonts w:ascii="Arial Narrow" w:hAnsi="Arial Narrow"/>
                <w:sz w:val="22"/>
                <w:szCs w:val="22"/>
              </w:rPr>
              <w:t xml:space="preserve"> gemeldet.</w:t>
            </w:r>
          </w:p>
          <w:p w14:paraId="0CADCF98" w14:textId="77777777" w:rsidR="00C06E63" w:rsidRPr="00B450EB" w:rsidRDefault="00C06E63" w:rsidP="00C06E63">
            <w:pPr>
              <w:rPr>
                <w:rFonts w:ascii="Arial Narrow" w:hAnsi="Arial Narrow"/>
                <w:sz w:val="22"/>
                <w:szCs w:val="22"/>
              </w:rPr>
            </w:pPr>
            <w:r w:rsidRPr="00B450EB">
              <w:rPr>
                <w:rFonts w:ascii="Arial Narrow" w:hAnsi="Arial Narrow"/>
                <w:sz w:val="22"/>
                <w:szCs w:val="22"/>
              </w:rPr>
              <w:t xml:space="preserve">Eine sachgerechte Abbildung im G-DRG System </w:t>
            </w:r>
            <w:r w:rsidR="0031107C">
              <w:rPr>
                <w:rFonts w:ascii="Arial Narrow" w:hAnsi="Arial Narrow"/>
                <w:sz w:val="22"/>
                <w:szCs w:val="22"/>
              </w:rPr>
              <w:t xml:space="preserve">2022 </w:t>
            </w:r>
            <w:r w:rsidRPr="00B450EB">
              <w:rPr>
                <w:rFonts w:ascii="Arial Narrow" w:hAnsi="Arial Narrow"/>
                <w:sz w:val="22"/>
                <w:szCs w:val="22"/>
              </w:rPr>
              <w:t>w</w:t>
            </w:r>
            <w:r w:rsidR="003F3159">
              <w:rPr>
                <w:rFonts w:ascii="Arial Narrow" w:hAnsi="Arial Narrow"/>
                <w:sz w:val="22"/>
                <w:szCs w:val="22"/>
              </w:rPr>
              <w:t>ar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 damit nicht möglich.</w:t>
            </w:r>
          </w:p>
          <w:p w14:paraId="0301A1EF" w14:textId="77777777" w:rsidR="00C06E63" w:rsidRDefault="00C06E63" w:rsidP="00C06E63">
            <w:pPr>
              <w:rPr>
                <w:rFonts w:ascii="Arial Narrow" w:hAnsi="Arial Narrow"/>
                <w:sz w:val="22"/>
                <w:szCs w:val="22"/>
              </w:rPr>
            </w:pPr>
            <w:r w:rsidRPr="00B450EB">
              <w:rPr>
                <w:rFonts w:ascii="Arial Narrow" w:hAnsi="Arial Narrow"/>
                <w:sz w:val="22"/>
                <w:szCs w:val="22"/>
              </w:rPr>
              <w:t xml:space="preserve">Die </w:t>
            </w:r>
            <w:r w:rsidR="00776CF2">
              <w:rPr>
                <w:rFonts w:ascii="Arial Narrow" w:hAnsi="Arial Narrow"/>
                <w:sz w:val="22"/>
                <w:szCs w:val="22"/>
              </w:rPr>
              <w:t xml:space="preserve">hohen 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zusätzlichen Kosten pro Applikation </w:t>
            </w:r>
            <w:r w:rsidR="003827D9">
              <w:rPr>
                <w:rFonts w:ascii="Arial Narrow" w:hAnsi="Arial Narrow"/>
                <w:sz w:val="22"/>
                <w:szCs w:val="22"/>
              </w:rPr>
              <w:t xml:space="preserve">bei der Herstellung in eigenen Labors 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können aber mit der Fallpauschale allein nicht ausreichend abgebildet werden. </w:t>
            </w:r>
          </w:p>
          <w:p w14:paraId="70AE0BA3" w14:textId="77777777" w:rsidR="00C06E63" w:rsidRDefault="00C06E63" w:rsidP="00C06E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0166CC" w14:textId="77777777" w:rsidR="008E6675" w:rsidRPr="005638EB" w:rsidRDefault="00C06E63" w:rsidP="0004094A">
            <w:pPr>
              <w:rPr>
                <w:rFonts w:ascii="Arial Narrow" w:hAnsi="Arial Narrow"/>
                <w:b/>
              </w:rPr>
            </w:pPr>
            <w:r w:rsidRPr="00B450EB">
              <w:rPr>
                <w:rFonts w:ascii="Arial Narrow" w:hAnsi="Arial Narrow"/>
                <w:sz w:val="22"/>
                <w:szCs w:val="22"/>
              </w:rPr>
              <w:t>Aufgrund der hohen Kosten kommt es</w:t>
            </w:r>
            <w:r w:rsidR="0051513A">
              <w:rPr>
                <w:rFonts w:ascii="Arial Narrow" w:hAnsi="Arial Narrow"/>
                <w:sz w:val="22"/>
                <w:szCs w:val="22"/>
              </w:rPr>
              <w:t xml:space="preserve"> aber mit Sicherheit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 zu einer Schieflage in de</w:t>
            </w:r>
            <w:r w:rsidR="0051513A">
              <w:rPr>
                <w:rFonts w:ascii="Arial Narrow" w:hAnsi="Arial Narrow"/>
                <w:sz w:val="22"/>
                <w:szCs w:val="22"/>
              </w:rPr>
              <w:t>n</w:t>
            </w:r>
            <w:r w:rsidRPr="00B450EB">
              <w:rPr>
                <w:rFonts w:ascii="Arial Narrow" w:hAnsi="Arial Narrow"/>
                <w:sz w:val="22"/>
                <w:szCs w:val="22"/>
              </w:rPr>
              <w:t xml:space="preserve"> betroffenen DRG</w:t>
            </w:r>
            <w:r w:rsidR="0051513A">
              <w:rPr>
                <w:rFonts w:ascii="Arial Narrow" w:hAnsi="Arial Narrow"/>
                <w:sz w:val="22"/>
                <w:szCs w:val="22"/>
              </w:rPr>
              <w:t xml:space="preserve"> s R60, R63 (bei AML und ALL) und R61 (bei NHL) zu den bisherigen Indikationen</w:t>
            </w:r>
            <w:r w:rsidRPr="00B450EB">
              <w:rPr>
                <w:rFonts w:ascii="Arial Narrow" w:hAnsi="Arial Narrow"/>
                <w:sz w:val="22"/>
                <w:szCs w:val="22"/>
              </w:rPr>
              <w:t>.</w:t>
            </w:r>
            <w:r w:rsidR="006A0359">
              <w:rPr>
                <w:rFonts w:ascii="Arial Narrow" w:hAnsi="Arial Narrow"/>
                <w:sz w:val="22"/>
                <w:szCs w:val="22"/>
              </w:rPr>
              <w:t xml:space="preserve"> Selbst die Abbildung in der Basis-DRG A36 bei ggf. erforderlichem Intensivaufenthalt deckt die Kosten der Eigenproduzierten CAR-T nicht annähernd.</w:t>
            </w:r>
          </w:p>
        </w:tc>
      </w:tr>
    </w:tbl>
    <w:p w14:paraId="73A6FE40" w14:textId="77777777" w:rsidR="008E6675" w:rsidRPr="005638EB" w:rsidRDefault="008E6675" w:rsidP="00C21D05">
      <w:pPr>
        <w:rPr>
          <w:rFonts w:ascii="Arial Narrow" w:hAnsi="Arial Narrow"/>
        </w:rPr>
      </w:pPr>
    </w:p>
    <w:sectPr w:rsidR="008E6675" w:rsidRPr="005638EB" w:rsidSect="004E1D0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7030" w16cex:dateUtc="2022-09-18T08:23:00Z"/>
  <w16cex:commentExtensible w16cex:durableId="26D1707C" w16cex:dateUtc="2022-09-18T08:25:00Z"/>
  <w16cex:commentExtensible w16cex:durableId="26D170C5" w16cex:dateUtc="2022-09-18T08:26:00Z"/>
  <w16cex:commentExtensible w16cex:durableId="26D170D6" w16cex:dateUtc="2022-09-18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BAFFEC" w16cid:durableId="26D17030"/>
  <w16cid:commentId w16cid:paraId="234BD2D4" w16cid:durableId="26D1707C"/>
  <w16cid:commentId w16cid:paraId="73D9EB26" w16cid:durableId="26D170C5"/>
  <w16cid:commentId w16cid:paraId="2D4E73E3" w16cid:durableId="26D17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C2C5" w14:textId="77777777" w:rsidR="002C1935" w:rsidRDefault="002C1935">
      <w:r>
        <w:separator/>
      </w:r>
    </w:p>
  </w:endnote>
  <w:endnote w:type="continuationSeparator" w:id="0">
    <w:p w14:paraId="037B9BB3" w14:textId="77777777" w:rsidR="002C1935" w:rsidRDefault="002C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81D7" w14:textId="78FDEBD7" w:rsidR="003F3159" w:rsidRPr="0028432D" w:rsidRDefault="00190005">
    <w:pPr>
      <w:pStyle w:val="Fuzeile"/>
      <w:rPr>
        <w:rFonts w:ascii="Arial Narrow" w:hAnsi="Arial Narrow"/>
      </w:rPr>
    </w:pPr>
    <w:r>
      <w:rPr>
        <w:rFonts w:ascii="Arial Narrow" w:hAnsi="Arial Narrow"/>
      </w:rPr>
      <w:t xml:space="preserve">Arbeitsgruppe DRG der Gesellschaft für Pädiatrische Onkologie und Hämatologie e.V. </w:t>
    </w:r>
    <w:r w:rsidR="0031107C">
      <w:rPr>
        <w:rFonts w:ascii="Arial Narrow" w:hAnsi="Arial Narrow"/>
      </w:rPr>
      <w:t>www.gpoh.de</w:t>
    </w:r>
  </w:p>
  <w:p w14:paraId="7E13E846" w14:textId="5065D96E" w:rsidR="003F3159" w:rsidRPr="0028432D" w:rsidRDefault="003F3159">
    <w:pPr>
      <w:pStyle w:val="Fuzeile"/>
      <w:rPr>
        <w:rFonts w:ascii="Arial Narrow" w:hAnsi="Arial Narrow"/>
      </w:rPr>
    </w:pPr>
    <w:r w:rsidRPr="0028432D">
      <w:rPr>
        <w:rFonts w:ascii="Arial Narrow" w:hAnsi="Arial Narrow"/>
        <w:snapToGrid w:val="0"/>
      </w:rPr>
      <w:t xml:space="preserve">Seite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PAGE </w:instrText>
    </w:r>
    <w:r w:rsidRPr="0028432D">
      <w:rPr>
        <w:rFonts w:ascii="Arial Narrow" w:hAnsi="Arial Narrow"/>
        <w:snapToGrid w:val="0"/>
      </w:rPr>
      <w:fldChar w:fldCharType="separate"/>
    </w:r>
    <w:r w:rsidR="004D0C92">
      <w:rPr>
        <w:rFonts w:ascii="Arial Narrow" w:hAnsi="Arial Narrow"/>
        <w:noProof/>
        <w:snapToGrid w:val="0"/>
      </w:rPr>
      <w:t>4</w:t>
    </w:r>
    <w:r w:rsidRPr="0028432D">
      <w:rPr>
        <w:rFonts w:ascii="Arial Narrow" w:hAnsi="Arial Narrow"/>
        <w:snapToGrid w:val="0"/>
      </w:rPr>
      <w:fldChar w:fldCharType="end"/>
    </w:r>
    <w:r w:rsidRPr="0028432D">
      <w:rPr>
        <w:rFonts w:ascii="Arial Narrow" w:hAnsi="Arial Narrow"/>
        <w:snapToGrid w:val="0"/>
      </w:rPr>
      <w:t xml:space="preserve"> von </w:t>
    </w:r>
    <w:r w:rsidRPr="0028432D">
      <w:rPr>
        <w:rFonts w:ascii="Arial Narrow" w:hAnsi="Arial Narrow"/>
        <w:snapToGrid w:val="0"/>
      </w:rPr>
      <w:fldChar w:fldCharType="begin"/>
    </w:r>
    <w:r w:rsidRPr="0028432D">
      <w:rPr>
        <w:rFonts w:ascii="Arial Narrow" w:hAnsi="Arial Narrow"/>
        <w:snapToGrid w:val="0"/>
      </w:rPr>
      <w:instrText xml:space="preserve"> NUMPAGES </w:instrText>
    </w:r>
    <w:r w:rsidRPr="0028432D">
      <w:rPr>
        <w:rFonts w:ascii="Arial Narrow" w:hAnsi="Arial Narrow"/>
        <w:snapToGrid w:val="0"/>
      </w:rPr>
      <w:fldChar w:fldCharType="separate"/>
    </w:r>
    <w:r w:rsidR="004D0C92">
      <w:rPr>
        <w:rFonts w:ascii="Arial Narrow" w:hAnsi="Arial Narrow"/>
        <w:noProof/>
        <w:snapToGrid w:val="0"/>
      </w:rPr>
      <w:t>4</w:t>
    </w:r>
    <w:r w:rsidRPr="0028432D">
      <w:rPr>
        <w:rFonts w:ascii="Arial Narrow" w:hAnsi="Arial Narrow"/>
        <w:snapToGrid w:val="0"/>
      </w:rPr>
      <w:fldChar w:fldCharType="end"/>
    </w:r>
  </w:p>
  <w:p w14:paraId="5CC2B718" w14:textId="3459E7ED" w:rsidR="003F3159" w:rsidRPr="00E062E8" w:rsidRDefault="00F929F7" w:rsidP="00AD6D12">
    <w:pPr>
      <w:pStyle w:val="Fuzeile"/>
      <w:rPr>
        <w:rFonts w:ascii="Arial Narrow" w:hAnsi="Arial Narrow"/>
      </w:rPr>
    </w:pPr>
    <w:r>
      <w:rPr>
        <w:rFonts w:ascii="Arial Narrow" w:hAnsi="Arial Narrow"/>
      </w:rPr>
      <w:t xml:space="preserve">Finale </w:t>
    </w:r>
    <w:r w:rsidR="003F3159">
      <w:rPr>
        <w:rFonts w:ascii="Arial Narrow" w:hAnsi="Arial Narrow"/>
      </w:rPr>
      <w:t xml:space="preserve">Version </w:t>
    </w:r>
    <w:r w:rsidR="00833C11">
      <w:rPr>
        <w:rFonts w:ascii="Arial Narrow" w:hAnsi="Arial Narrow"/>
      </w:rPr>
      <w:t>14.10.22</w:t>
    </w:r>
  </w:p>
  <w:p w14:paraId="34F702B0" w14:textId="77777777" w:rsidR="003F3159" w:rsidRDefault="003F3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F13D" w14:textId="77777777" w:rsidR="002C1935" w:rsidRDefault="002C1935">
      <w:r>
        <w:separator/>
      </w:r>
    </w:p>
  </w:footnote>
  <w:footnote w:type="continuationSeparator" w:id="0">
    <w:p w14:paraId="08C004FB" w14:textId="77777777" w:rsidR="002C1935" w:rsidRDefault="002C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7983" w14:textId="4DA20A8D" w:rsidR="003F3159" w:rsidRPr="004C4F82" w:rsidRDefault="003F3159" w:rsidP="00C12787">
    <w:pPr>
      <w:pStyle w:val="Titel"/>
      <w:rPr>
        <w:sz w:val="48"/>
      </w:rPr>
    </w:pPr>
    <w:r w:rsidRPr="004C4F82">
      <w:rPr>
        <w:sz w:val="48"/>
      </w:rPr>
      <w:t xml:space="preserve">NUB Antrag </w:t>
    </w:r>
    <w:r w:rsidR="00C12787" w:rsidRPr="004C4F82">
      <w:rPr>
        <w:sz w:val="48"/>
      </w:rPr>
      <w:t>20</w:t>
    </w:r>
    <w:r w:rsidR="00C12787">
      <w:rPr>
        <w:sz w:val="48"/>
      </w:rPr>
      <w:t>22</w:t>
    </w:r>
    <w:r w:rsidRPr="004C4F82">
      <w:rPr>
        <w:sz w:val="48"/>
      </w:rPr>
      <w:t>/</w:t>
    </w:r>
    <w:r w:rsidR="00C12787" w:rsidRPr="004C4F82">
      <w:rPr>
        <w:sz w:val="48"/>
      </w:rPr>
      <w:t>20</w:t>
    </w:r>
    <w:r w:rsidR="00C12787">
      <w:rPr>
        <w:sz w:val="48"/>
      </w:rPr>
      <w:t>23</w:t>
    </w:r>
    <w:r w:rsidR="00C12787" w:rsidRPr="004C4F82">
      <w:rPr>
        <w:sz w:val="48"/>
      </w:rPr>
      <w:t xml:space="preserve"> </w:t>
    </w:r>
  </w:p>
  <w:p w14:paraId="53295873" w14:textId="77777777" w:rsidR="003F3159" w:rsidRPr="004C4F82" w:rsidRDefault="003F3159" w:rsidP="00596F9A">
    <w:pPr>
      <w:pStyle w:val="Titel"/>
      <w:rPr>
        <w:sz w:val="48"/>
      </w:rPr>
    </w:pPr>
    <w:r w:rsidRPr="004C4F82">
      <w:rPr>
        <w:sz w:val="48"/>
      </w:rPr>
      <w:t>[</w:t>
    </w:r>
    <w:r>
      <w:rPr>
        <w:sz w:val="48"/>
      </w:rPr>
      <w:t>CAR T-Zellen</w:t>
    </w:r>
    <w:r w:rsidRPr="004C4F82">
      <w:rPr>
        <w:sz w:val="48"/>
      </w:rPr>
      <w:t>]</w:t>
    </w:r>
  </w:p>
  <w:p w14:paraId="74332704" w14:textId="77777777" w:rsidR="003F3159" w:rsidRDefault="003F31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1"/>
    <w:rsid w:val="00015BCA"/>
    <w:rsid w:val="00022E96"/>
    <w:rsid w:val="00024651"/>
    <w:rsid w:val="0004094A"/>
    <w:rsid w:val="00072A33"/>
    <w:rsid w:val="000C704A"/>
    <w:rsid w:val="0010382E"/>
    <w:rsid w:val="00147873"/>
    <w:rsid w:val="00174C6A"/>
    <w:rsid w:val="001842C1"/>
    <w:rsid w:val="00190005"/>
    <w:rsid w:val="00195D6F"/>
    <w:rsid w:val="001F2899"/>
    <w:rsid w:val="002005AF"/>
    <w:rsid w:val="00234FB1"/>
    <w:rsid w:val="00255B1E"/>
    <w:rsid w:val="0028432D"/>
    <w:rsid w:val="002C1935"/>
    <w:rsid w:val="002D7403"/>
    <w:rsid w:val="002E5E26"/>
    <w:rsid w:val="002F7726"/>
    <w:rsid w:val="0031107C"/>
    <w:rsid w:val="00333592"/>
    <w:rsid w:val="003428E0"/>
    <w:rsid w:val="003479E5"/>
    <w:rsid w:val="0036325A"/>
    <w:rsid w:val="003723C7"/>
    <w:rsid w:val="00374EF5"/>
    <w:rsid w:val="003827D9"/>
    <w:rsid w:val="003B2E05"/>
    <w:rsid w:val="003F1F1B"/>
    <w:rsid w:val="003F2692"/>
    <w:rsid w:val="003F3159"/>
    <w:rsid w:val="0040610F"/>
    <w:rsid w:val="0041156E"/>
    <w:rsid w:val="00451F45"/>
    <w:rsid w:val="004642E2"/>
    <w:rsid w:val="00492AB4"/>
    <w:rsid w:val="004B3438"/>
    <w:rsid w:val="004B624B"/>
    <w:rsid w:val="004B6C59"/>
    <w:rsid w:val="004C4F82"/>
    <w:rsid w:val="004D0C92"/>
    <w:rsid w:val="004E1D02"/>
    <w:rsid w:val="004E3739"/>
    <w:rsid w:val="0050526A"/>
    <w:rsid w:val="0051513A"/>
    <w:rsid w:val="00516C3B"/>
    <w:rsid w:val="00523CBB"/>
    <w:rsid w:val="005524BC"/>
    <w:rsid w:val="005638EB"/>
    <w:rsid w:val="00596F9A"/>
    <w:rsid w:val="005B3F11"/>
    <w:rsid w:val="005B6D94"/>
    <w:rsid w:val="005E26C5"/>
    <w:rsid w:val="005F29C6"/>
    <w:rsid w:val="005F4D2E"/>
    <w:rsid w:val="00612463"/>
    <w:rsid w:val="00625B01"/>
    <w:rsid w:val="006302D0"/>
    <w:rsid w:val="006549F4"/>
    <w:rsid w:val="006A0359"/>
    <w:rsid w:val="006D4676"/>
    <w:rsid w:val="006E1DB4"/>
    <w:rsid w:val="00702330"/>
    <w:rsid w:val="00705507"/>
    <w:rsid w:val="00752F6F"/>
    <w:rsid w:val="007600D1"/>
    <w:rsid w:val="00770746"/>
    <w:rsid w:val="00776CF2"/>
    <w:rsid w:val="007823FE"/>
    <w:rsid w:val="007A6F09"/>
    <w:rsid w:val="007F255B"/>
    <w:rsid w:val="00807564"/>
    <w:rsid w:val="00814889"/>
    <w:rsid w:val="00816924"/>
    <w:rsid w:val="00833C11"/>
    <w:rsid w:val="00850D44"/>
    <w:rsid w:val="00852B04"/>
    <w:rsid w:val="00864F30"/>
    <w:rsid w:val="00883E65"/>
    <w:rsid w:val="00886C22"/>
    <w:rsid w:val="008B4504"/>
    <w:rsid w:val="008C1686"/>
    <w:rsid w:val="008D12DD"/>
    <w:rsid w:val="008E6675"/>
    <w:rsid w:val="009102C0"/>
    <w:rsid w:val="00927EF5"/>
    <w:rsid w:val="00983554"/>
    <w:rsid w:val="009B1C7E"/>
    <w:rsid w:val="009C0B84"/>
    <w:rsid w:val="00A00CCB"/>
    <w:rsid w:val="00A100DC"/>
    <w:rsid w:val="00A2016B"/>
    <w:rsid w:val="00A21E9E"/>
    <w:rsid w:val="00A345A9"/>
    <w:rsid w:val="00A36994"/>
    <w:rsid w:val="00A530BE"/>
    <w:rsid w:val="00A7373C"/>
    <w:rsid w:val="00A93AAD"/>
    <w:rsid w:val="00AD3072"/>
    <w:rsid w:val="00AD6D12"/>
    <w:rsid w:val="00AE4C49"/>
    <w:rsid w:val="00AF09BD"/>
    <w:rsid w:val="00B03A61"/>
    <w:rsid w:val="00B21641"/>
    <w:rsid w:val="00B574E9"/>
    <w:rsid w:val="00B6570D"/>
    <w:rsid w:val="00B773B8"/>
    <w:rsid w:val="00BB0A8F"/>
    <w:rsid w:val="00BB4A54"/>
    <w:rsid w:val="00BC4042"/>
    <w:rsid w:val="00BD0AB0"/>
    <w:rsid w:val="00BD5C6E"/>
    <w:rsid w:val="00BD662B"/>
    <w:rsid w:val="00BF11AE"/>
    <w:rsid w:val="00BF6DD9"/>
    <w:rsid w:val="00C06E63"/>
    <w:rsid w:val="00C12787"/>
    <w:rsid w:val="00C21D05"/>
    <w:rsid w:val="00C370CD"/>
    <w:rsid w:val="00C67695"/>
    <w:rsid w:val="00C73592"/>
    <w:rsid w:val="00CC14E6"/>
    <w:rsid w:val="00CC1A2E"/>
    <w:rsid w:val="00CD2365"/>
    <w:rsid w:val="00CE69F3"/>
    <w:rsid w:val="00CF5ECC"/>
    <w:rsid w:val="00D216BD"/>
    <w:rsid w:val="00D21A79"/>
    <w:rsid w:val="00D62353"/>
    <w:rsid w:val="00D637FB"/>
    <w:rsid w:val="00D767C9"/>
    <w:rsid w:val="00D87B96"/>
    <w:rsid w:val="00D9586E"/>
    <w:rsid w:val="00DB4789"/>
    <w:rsid w:val="00DC6CBD"/>
    <w:rsid w:val="00DE6F3D"/>
    <w:rsid w:val="00DE7008"/>
    <w:rsid w:val="00E062E8"/>
    <w:rsid w:val="00E24E3B"/>
    <w:rsid w:val="00E46713"/>
    <w:rsid w:val="00E60E43"/>
    <w:rsid w:val="00E83E83"/>
    <w:rsid w:val="00E86725"/>
    <w:rsid w:val="00E9243F"/>
    <w:rsid w:val="00E92C57"/>
    <w:rsid w:val="00EC0987"/>
    <w:rsid w:val="00EE5875"/>
    <w:rsid w:val="00EF7165"/>
    <w:rsid w:val="00F000AA"/>
    <w:rsid w:val="00F0474D"/>
    <w:rsid w:val="00F233AA"/>
    <w:rsid w:val="00F51FCD"/>
    <w:rsid w:val="00F91167"/>
    <w:rsid w:val="00F929F7"/>
    <w:rsid w:val="00FE1E3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53CA1"/>
  <w15:docId w15:val="{C978A911-C5AB-42BD-BD25-6E45E314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B4504"/>
    <w:rPr>
      <w:rFonts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DE700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E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E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E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E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E6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60E43"/>
    <w:rPr>
      <w:sz w:val="24"/>
      <w:szCs w:val="24"/>
    </w:rPr>
  </w:style>
  <w:style w:type="character" w:customStyle="1" w:styleId="jrnl">
    <w:name w:val="jrnl"/>
    <w:basedOn w:val="Absatz-Standardschriftart"/>
    <w:rsid w:val="003F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8390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Klinikum der Universitaet Muenchen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5</cp:revision>
  <cp:lastPrinted>2018-09-17T14:20:00Z</cp:lastPrinted>
  <dcterms:created xsi:type="dcterms:W3CDTF">2022-10-14T14:44:00Z</dcterms:created>
  <dcterms:modified xsi:type="dcterms:W3CDTF">2022-10-15T14:58:00Z</dcterms:modified>
</cp:coreProperties>
</file>