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1866C80E" w14:textId="77777777">
        <w:tc>
          <w:tcPr>
            <w:tcW w:w="9212" w:type="dxa"/>
          </w:tcPr>
          <w:p w14:paraId="43791D53" w14:textId="77777777" w:rsidR="00983FC9" w:rsidRDefault="00387D1F">
            <w:pPr>
              <w:rPr>
                <w:rFonts w:ascii="Arial Narrow" w:hAnsi="Arial Narrow"/>
                <w:b/>
              </w:rPr>
            </w:pPr>
            <w:r>
              <w:rPr>
                <w:rFonts w:ascii="Arial Narrow" w:hAnsi="Arial Narrow"/>
                <w:b/>
                <w:sz w:val="22"/>
              </w:rPr>
              <w:t>Haben Sie externe Hilfestellungen in Anspruch genommen?  Wenn ja, bitte geben Sie an, welche Hilfestellung Sie in Anspruch genommen haben?</w:t>
            </w:r>
          </w:p>
        </w:tc>
      </w:tr>
      <w:tr w:rsidR="00983FC9" w14:paraId="65AF5844" w14:textId="77777777">
        <w:tc>
          <w:tcPr>
            <w:tcW w:w="9212" w:type="dxa"/>
          </w:tcPr>
          <w:p w14:paraId="3A157ED4" w14:textId="01C9CA9E" w:rsidR="00983FC9" w:rsidRDefault="00387D1F" w:rsidP="00762DE0">
            <w:pPr>
              <w:rPr>
                <w:rFonts w:ascii="Arial Narrow" w:hAnsi="Arial Narrow"/>
              </w:rPr>
            </w:pPr>
            <w:r>
              <w:rPr>
                <w:rFonts w:ascii="Arial Narrow" w:hAnsi="Arial Narrow"/>
                <w:sz w:val="22"/>
              </w:rPr>
              <w:t xml:space="preserve">Dieser Antrag wurde durch die </w:t>
            </w:r>
            <w:r>
              <w:rPr>
                <w:rFonts w:ascii="Arial Narrow" w:hAnsi="Arial Narrow"/>
                <w:bCs/>
                <w:sz w:val="22"/>
              </w:rPr>
              <w:t xml:space="preserve">Gesellschaft für Pädiatrische Onkologie und Hämatologie (GPOH) </w:t>
            </w:r>
            <w:r>
              <w:rPr>
                <w:rFonts w:ascii="Arial Narrow" w:hAnsi="Arial Narrow"/>
                <w:sz w:val="22"/>
              </w:rPr>
              <w:t>vorformuliert.</w:t>
            </w:r>
          </w:p>
        </w:tc>
      </w:tr>
    </w:tbl>
    <w:p w14:paraId="12DA0CF6" w14:textId="77777777" w:rsidR="00983FC9" w:rsidRDefault="00983FC9">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13D1A9D1" w14:textId="77777777">
        <w:tc>
          <w:tcPr>
            <w:tcW w:w="9212" w:type="dxa"/>
          </w:tcPr>
          <w:p w14:paraId="522FEE31" w14:textId="77777777" w:rsidR="00983FC9" w:rsidRDefault="00387D1F">
            <w:pPr>
              <w:rPr>
                <w:rFonts w:ascii="Arial Narrow" w:hAnsi="Arial Narrow"/>
                <w:b/>
              </w:rPr>
            </w:pPr>
            <w:r>
              <w:rPr>
                <w:rFonts w:ascii="Arial Narrow" w:hAnsi="Arial Narrow"/>
                <w:b/>
                <w:sz w:val="22"/>
              </w:rPr>
              <w:t>1.1 Angefragte Untersuchungs- und Behandlungsmethode (Kurzbezeichnung)</w:t>
            </w:r>
          </w:p>
        </w:tc>
      </w:tr>
      <w:tr w:rsidR="00983FC9" w14:paraId="738B3F77" w14:textId="77777777">
        <w:tc>
          <w:tcPr>
            <w:tcW w:w="9212" w:type="dxa"/>
          </w:tcPr>
          <w:p w14:paraId="6D6C6C7F" w14:textId="77777777" w:rsidR="00983FC9" w:rsidRDefault="00387D1F">
            <w:pPr>
              <w:rPr>
                <w:rFonts w:ascii="Arial Narrow" w:hAnsi="Arial Narrow"/>
                <w:color w:val="00B050"/>
                <w:sz w:val="22"/>
              </w:rPr>
            </w:pPr>
            <w:r>
              <w:rPr>
                <w:rFonts w:ascii="Arial Narrow" w:hAnsi="Arial Narrow"/>
                <w:sz w:val="22"/>
              </w:rPr>
              <w:t xml:space="preserve">Übertragung von virusspezifischen Spender-Immunzellen nach </w:t>
            </w:r>
            <w:proofErr w:type="spellStart"/>
            <w:r>
              <w:rPr>
                <w:rFonts w:ascii="Arial Narrow" w:hAnsi="Arial Narrow"/>
                <w:sz w:val="22"/>
              </w:rPr>
              <w:t>allogener</w:t>
            </w:r>
            <w:proofErr w:type="spellEnd"/>
            <w:r>
              <w:rPr>
                <w:rFonts w:ascii="Arial Narrow" w:hAnsi="Arial Narrow"/>
                <w:sz w:val="22"/>
              </w:rPr>
              <w:t xml:space="preserve"> Stammzelltransplantation (SZT)</w:t>
            </w:r>
          </w:p>
        </w:tc>
      </w:tr>
    </w:tbl>
    <w:p w14:paraId="400EB7D5" w14:textId="77777777" w:rsidR="00983FC9" w:rsidRDefault="00983FC9">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532DDFC5" w14:textId="77777777">
        <w:tc>
          <w:tcPr>
            <w:tcW w:w="9212" w:type="dxa"/>
          </w:tcPr>
          <w:p w14:paraId="0FAF4D1C" w14:textId="77777777" w:rsidR="00983FC9" w:rsidRDefault="00387D1F">
            <w:pPr>
              <w:tabs>
                <w:tab w:val="left" w:pos="7465"/>
              </w:tabs>
              <w:rPr>
                <w:rFonts w:ascii="Arial Narrow" w:hAnsi="Arial Narrow"/>
                <w:b/>
              </w:rPr>
            </w:pPr>
            <w:r>
              <w:rPr>
                <w:rFonts w:ascii="Arial Narrow" w:hAnsi="Arial Narrow"/>
                <w:b/>
                <w:sz w:val="22"/>
              </w:rPr>
              <w:t>1.2 Alternative Bezeichnung(en) der Methode</w:t>
            </w:r>
            <w:r>
              <w:rPr>
                <w:rFonts w:ascii="Arial Narrow" w:hAnsi="Arial Narrow"/>
                <w:b/>
                <w:sz w:val="22"/>
              </w:rPr>
              <w:tab/>
            </w:r>
          </w:p>
        </w:tc>
      </w:tr>
      <w:tr w:rsidR="00983FC9" w14:paraId="60E751CA" w14:textId="77777777">
        <w:tc>
          <w:tcPr>
            <w:tcW w:w="9212" w:type="dxa"/>
          </w:tcPr>
          <w:p w14:paraId="21EE760A" w14:textId="77777777" w:rsidR="00983FC9" w:rsidRDefault="00387D1F">
            <w:pPr>
              <w:rPr>
                <w:rFonts w:ascii="Arial Narrow" w:hAnsi="Arial Narrow"/>
                <w:bCs/>
                <w:sz w:val="22"/>
              </w:rPr>
            </w:pPr>
            <w:r>
              <w:rPr>
                <w:rFonts w:ascii="Arial Narrow" w:hAnsi="Arial Narrow"/>
                <w:bCs/>
                <w:sz w:val="22"/>
              </w:rPr>
              <w:t xml:space="preserve">Gabe von separierten Antigen-spezifischen CD4+ und CD8+ T-Zellen bei viraler Infektion nach </w:t>
            </w:r>
            <w:proofErr w:type="spellStart"/>
            <w:r>
              <w:rPr>
                <w:rFonts w:ascii="Arial Narrow" w:hAnsi="Arial Narrow"/>
                <w:bCs/>
                <w:sz w:val="22"/>
              </w:rPr>
              <w:t>allogener</w:t>
            </w:r>
            <w:proofErr w:type="spellEnd"/>
            <w:r>
              <w:rPr>
                <w:rFonts w:ascii="Arial Narrow" w:hAnsi="Arial Narrow"/>
                <w:bCs/>
                <w:sz w:val="22"/>
              </w:rPr>
              <w:t xml:space="preserve"> Stammzelltransplantation (Gewinnung mit </w:t>
            </w:r>
            <w:proofErr w:type="spellStart"/>
            <w:r>
              <w:rPr>
                <w:rFonts w:ascii="Arial Narrow" w:hAnsi="Arial Narrow"/>
                <w:bCs/>
                <w:sz w:val="22"/>
              </w:rPr>
              <w:t>CliniMACS</w:t>
            </w:r>
            <w:proofErr w:type="spellEnd"/>
            <w:r>
              <w:rPr>
                <w:rFonts w:ascii="Arial Narrow" w:hAnsi="Arial Narrow"/>
                <w:bCs/>
                <w:sz w:val="22"/>
              </w:rPr>
              <w:t xml:space="preserve">®-System).    </w:t>
            </w:r>
          </w:p>
          <w:p w14:paraId="54331F92" w14:textId="77777777" w:rsidR="00983FC9" w:rsidRDefault="00387D1F">
            <w:pPr>
              <w:rPr>
                <w:rFonts w:ascii="Arial Narrow" w:hAnsi="Arial Narrow"/>
                <w:bCs/>
                <w:sz w:val="22"/>
              </w:rPr>
            </w:pPr>
            <w:proofErr w:type="spellStart"/>
            <w:r>
              <w:rPr>
                <w:rFonts w:ascii="Arial Narrow" w:hAnsi="Arial Narrow"/>
                <w:bCs/>
                <w:sz w:val="22"/>
              </w:rPr>
              <w:t>Donor</w:t>
            </w:r>
            <w:proofErr w:type="spellEnd"/>
            <w:r>
              <w:rPr>
                <w:rFonts w:ascii="Arial Narrow" w:hAnsi="Arial Narrow"/>
                <w:bCs/>
                <w:sz w:val="22"/>
              </w:rPr>
              <w:t xml:space="preserve">-Lymphozyten mit in-vitro-Aufbereitung bei schweren Infektionen nach Stammzelltransplantation. </w:t>
            </w:r>
          </w:p>
          <w:p w14:paraId="484EF7E2" w14:textId="77777777" w:rsidR="00983FC9" w:rsidRDefault="00387D1F">
            <w:pPr>
              <w:rPr>
                <w:rFonts w:ascii="Arial Narrow" w:hAnsi="Arial Narrow"/>
                <w:bCs/>
                <w:sz w:val="22"/>
              </w:rPr>
            </w:pPr>
            <w:proofErr w:type="spellStart"/>
            <w:r>
              <w:rPr>
                <w:rFonts w:ascii="Arial Narrow" w:hAnsi="Arial Narrow"/>
                <w:bCs/>
                <w:sz w:val="22"/>
              </w:rPr>
              <w:t>Adoptiver</w:t>
            </w:r>
            <w:proofErr w:type="spellEnd"/>
            <w:r>
              <w:rPr>
                <w:rFonts w:ascii="Arial Narrow" w:hAnsi="Arial Narrow"/>
                <w:bCs/>
                <w:sz w:val="22"/>
              </w:rPr>
              <w:t xml:space="preserve"> T-Zelltransfer von CMV-spezifischen zytotoxischen T-Zellen. </w:t>
            </w:r>
          </w:p>
          <w:p w14:paraId="18887CC2" w14:textId="77777777" w:rsidR="00983FC9" w:rsidRDefault="00387D1F">
            <w:pPr>
              <w:rPr>
                <w:rFonts w:ascii="Arial Narrow" w:hAnsi="Arial Narrow"/>
                <w:bCs/>
                <w:sz w:val="22"/>
              </w:rPr>
            </w:pPr>
            <w:proofErr w:type="spellStart"/>
            <w:r>
              <w:rPr>
                <w:rFonts w:ascii="Arial Narrow" w:hAnsi="Arial Narrow"/>
                <w:bCs/>
                <w:sz w:val="22"/>
              </w:rPr>
              <w:t>Adoptiver</w:t>
            </w:r>
            <w:proofErr w:type="spellEnd"/>
            <w:r>
              <w:rPr>
                <w:rFonts w:ascii="Arial Narrow" w:hAnsi="Arial Narrow"/>
                <w:bCs/>
                <w:sz w:val="22"/>
              </w:rPr>
              <w:t xml:space="preserve"> T-Zelltransfer von EBV-spezifischen zytotoxischen T-Zellen.</w:t>
            </w:r>
          </w:p>
          <w:p w14:paraId="4726E848" w14:textId="77777777" w:rsidR="00983FC9" w:rsidRDefault="00387D1F">
            <w:pPr>
              <w:rPr>
                <w:rFonts w:ascii="Arial Narrow" w:hAnsi="Arial Narrow"/>
                <w:bCs/>
                <w:sz w:val="22"/>
              </w:rPr>
            </w:pPr>
            <w:proofErr w:type="spellStart"/>
            <w:r>
              <w:rPr>
                <w:rFonts w:ascii="Arial Narrow" w:hAnsi="Arial Narrow"/>
                <w:bCs/>
                <w:sz w:val="22"/>
              </w:rPr>
              <w:t>Adoptiver</w:t>
            </w:r>
            <w:proofErr w:type="spellEnd"/>
            <w:r>
              <w:rPr>
                <w:rFonts w:ascii="Arial Narrow" w:hAnsi="Arial Narrow"/>
                <w:bCs/>
                <w:sz w:val="22"/>
              </w:rPr>
              <w:t xml:space="preserve"> T-Zelltransfer von </w:t>
            </w:r>
            <w:proofErr w:type="spellStart"/>
            <w:r>
              <w:rPr>
                <w:rFonts w:ascii="Arial Narrow" w:hAnsi="Arial Narrow"/>
                <w:bCs/>
                <w:sz w:val="22"/>
              </w:rPr>
              <w:t>Adenovirus</w:t>
            </w:r>
            <w:proofErr w:type="spellEnd"/>
            <w:r>
              <w:rPr>
                <w:rFonts w:ascii="Arial Narrow" w:hAnsi="Arial Narrow"/>
                <w:bCs/>
                <w:sz w:val="22"/>
              </w:rPr>
              <w:t>-spezifischen zytotoxischen T-Zellen.</w:t>
            </w:r>
          </w:p>
          <w:p w14:paraId="3AA9E8C6" w14:textId="7981C840" w:rsidR="00983FC9" w:rsidRDefault="00387D1F">
            <w:pPr>
              <w:rPr>
                <w:rFonts w:ascii="Arial Narrow" w:hAnsi="Arial Narrow"/>
                <w:bCs/>
                <w:sz w:val="22"/>
              </w:rPr>
            </w:pPr>
            <w:proofErr w:type="spellStart"/>
            <w:r>
              <w:rPr>
                <w:rFonts w:ascii="Arial Narrow" w:hAnsi="Arial Narrow"/>
                <w:bCs/>
                <w:sz w:val="22"/>
              </w:rPr>
              <w:t>Adoptiver</w:t>
            </w:r>
            <w:proofErr w:type="spellEnd"/>
            <w:r>
              <w:rPr>
                <w:rFonts w:ascii="Arial Narrow" w:hAnsi="Arial Narrow"/>
                <w:bCs/>
                <w:sz w:val="22"/>
              </w:rPr>
              <w:t xml:space="preserve"> T-Zelltransfer zur Therapie viraler Infektionen nach </w:t>
            </w:r>
            <w:proofErr w:type="spellStart"/>
            <w:r>
              <w:rPr>
                <w:rFonts w:ascii="Arial Narrow" w:hAnsi="Arial Narrow"/>
                <w:bCs/>
                <w:sz w:val="22"/>
              </w:rPr>
              <w:t>allogener</w:t>
            </w:r>
            <w:proofErr w:type="spellEnd"/>
            <w:r>
              <w:rPr>
                <w:rFonts w:ascii="Arial Narrow" w:hAnsi="Arial Narrow"/>
                <w:bCs/>
                <w:sz w:val="22"/>
              </w:rPr>
              <w:t xml:space="preserve"> Stammzelltransplantation</w:t>
            </w:r>
          </w:p>
          <w:p w14:paraId="02EC39E9" w14:textId="326D2C6B" w:rsidR="00E42C90" w:rsidRDefault="00E42C90" w:rsidP="00E42C90">
            <w:pPr>
              <w:rPr>
                <w:rFonts w:ascii="Arial Narrow" w:hAnsi="Arial Narrow"/>
                <w:bCs/>
                <w:sz w:val="22"/>
              </w:rPr>
            </w:pPr>
            <w:r w:rsidRPr="00E42C90">
              <w:rPr>
                <w:rFonts w:ascii="Arial Narrow" w:hAnsi="Arial Narrow"/>
                <w:bCs/>
                <w:sz w:val="22"/>
              </w:rPr>
              <w:t>T-Zell-Konzentrate aus Fremdblut</w:t>
            </w:r>
            <w:r>
              <w:rPr>
                <w:rFonts w:ascii="Arial Narrow" w:hAnsi="Arial Narrow"/>
                <w:bCs/>
                <w:sz w:val="22"/>
              </w:rPr>
              <w:t xml:space="preserve"> </w:t>
            </w:r>
            <w:r w:rsidRPr="00E42C90">
              <w:rPr>
                <w:rFonts w:ascii="Arial Narrow" w:hAnsi="Arial Narrow"/>
                <w:bCs/>
                <w:sz w:val="22"/>
              </w:rPr>
              <w:t xml:space="preserve">aus </w:t>
            </w:r>
            <w:proofErr w:type="spellStart"/>
            <w:r w:rsidRPr="00E42C90">
              <w:rPr>
                <w:rFonts w:ascii="Arial Narrow" w:hAnsi="Arial Narrow"/>
                <w:bCs/>
                <w:sz w:val="22"/>
              </w:rPr>
              <w:t>Apherese</w:t>
            </w:r>
            <w:proofErr w:type="spellEnd"/>
            <w:r w:rsidRPr="00E42C90">
              <w:rPr>
                <w:rFonts w:ascii="Arial Narrow" w:hAnsi="Arial Narrow"/>
                <w:bCs/>
                <w:sz w:val="22"/>
              </w:rPr>
              <w:t>, antigenspezifisch und Pep</w:t>
            </w:r>
            <w:r>
              <w:rPr>
                <w:rFonts w:ascii="Arial Narrow" w:hAnsi="Arial Narrow"/>
                <w:bCs/>
                <w:sz w:val="22"/>
              </w:rPr>
              <w:t>tid-induziert antigenspezifisch (</w:t>
            </w:r>
            <w:proofErr w:type="spellStart"/>
            <w:r w:rsidRPr="00E42C90">
              <w:rPr>
                <w:rFonts w:ascii="Arial Narrow" w:hAnsi="Arial Narrow"/>
                <w:bCs/>
                <w:sz w:val="22"/>
              </w:rPr>
              <w:t>Adenovirus</w:t>
            </w:r>
            <w:proofErr w:type="spellEnd"/>
            <w:r w:rsidRPr="00E42C90">
              <w:rPr>
                <w:rFonts w:ascii="Arial Narrow" w:hAnsi="Arial Narrow"/>
                <w:bCs/>
                <w:sz w:val="22"/>
              </w:rPr>
              <w:t>-spezifisch</w:t>
            </w:r>
            <w:r>
              <w:rPr>
                <w:rFonts w:ascii="Arial Narrow" w:hAnsi="Arial Narrow"/>
                <w:bCs/>
                <w:sz w:val="22"/>
              </w:rPr>
              <w:t xml:space="preserve">; </w:t>
            </w:r>
            <w:r w:rsidRPr="00E42C90">
              <w:rPr>
                <w:rFonts w:ascii="Arial Narrow" w:hAnsi="Arial Narrow"/>
                <w:bCs/>
                <w:sz w:val="22"/>
              </w:rPr>
              <w:t>CMV-spezifisch</w:t>
            </w:r>
            <w:r>
              <w:rPr>
                <w:rFonts w:ascii="Arial Narrow" w:hAnsi="Arial Narrow"/>
                <w:bCs/>
                <w:sz w:val="22"/>
              </w:rPr>
              <w:t xml:space="preserve">; </w:t>
            </w:r>
            <w:r w:rsidRPr="00E42C90">
              <w:rPr>
                <w:rFonts w:ascii="Arial Narrow" w:hAnsi="Arial Narrow"/>
                <w:bCs/>
                <w:sz w:val="22"/>
              </w:rPr>
              <w:t>EBV-spezifisch</w:t>
            </w:r>
            <w:r>
              <w:rPr>
                <w:rFonts w:ascii="Arial Narrow" w:hAnsi="Arial Narrow"/>
                <w:bCs/>
                <w:sz w:val="22"/>
              </w:rPr>
              <w:t xml:space="preserve">; </w:t>
            </w:r>
            <w:r w:rsidRPr="00E42C90">
              <w:rPr>
                <w:rFonts w:ascii="Arial Narrow" w:hAnsi="Arial Narrow"/>
                <w:bCs/>
                <w:sz w:val="22"/>
              </w:rPr>
              <w:t>BKV-spezifisch</w:t>
            </w:r>
            <w:r>
              <w:rPr>
                <w:rFonts w:ascii="Arial Narrow" w:hAnsi="Arial Narrow"/>
                <w:bCs/>
                <w:sz w:val="22"/>
              </w:rPr>
              <w:t xml:space="preserve">; </w:t>
            </w:r>
            <w:r w:rsidRPr="00E42C90">
              <w:rPr>
                <w:rFonts w:ascii="Arial Narrow" w:hAnsi="Arial Narrow"/>
                <w:bCs/>
                <w:sz w:val="22"/>
              </w:rPr>
              <w:t>multispezifisch (Mischungen von T-Zellen mit jeweils definierten Spezifitäten</w:t>
            </w:r>
            <w:r>
              <w:rPr>
                <w:rFonts w:ascii="Arial Narrow" w:hAnsi="Arial Narrow"/>
                <w:bCs/>
                <w:sz w:val="22"/>
              </w:rPr>
              <w:t xml:space="preserve"> </w:t>
            </w:r>
            <w:r w:rsidRPr="00E42C90">
              <w:rPr>
                <w:rFonts w:ascii="Arial Narrow" w:hAnsi="Arial Narrow"/>
                <w:bCs/>
                <w:sz w:val="22"/>
              </w:rPr>
              <w:t xml:space="preserve">gegen </w:t>
            </w:r>
            <w:proofErr w:type="spellStart"/>
            <w:r w:rsidRPr="00E42C90">
              <w:rPr>
                <w:rFonts w:ascii="Arial Narrow" w:hAnsi="Arial Narrow"/>
                <w:bCs/>
                <w:sz w:val="22"/>
              </w:rPr>
              <w:t>A</w:t>
            </w:r>
            <w:r>
              <w:rPr>
                <w:rFonts w:ascii="Arial Narrow" w:hAnsi="Arial Narrow"/>
                <w:bCs/>
                <w:sz w:val="22"/>
              </w:rPr>
              <w:t>denovirus</w:t>
            </w:r>
            <w:proofErr w:type="spellEnd"/>
            <w:r>
              <w:rPr>
                <w:rFonts w:ascii="Arial Narrow" w:hAnsi="Arial Narrow"/>
                <w:bCs/>
                <w:sz w:val="22"/>
              </w:rPr>
              <w:t>, CMV, EBV</w:t>
            </w:r>
            <w:r w:rsidRPr="00E42C90">
              <w:rPr>
                <w:rFonts w:ascii="Arial Narrow" w:hAnsi="Arial Narrow"/>
                <w:bCs/>
                <w:sz w:val="22"/>
              </w:rPr>
              <w:t>)</w:t>
            </w:r>
          </w:p>
          <w:p w14:paraId="2353CCDF" w14:textId="77777777" w:rsidR="00983FC9" w:rsidRDefault="00983FC9">
            <w:pPr>
              <w:rPr>
                <w:rFonts w:ascii="Arial Narrow" w:hAnsi="Arial Narrow"/>
              </w:rPr>
            </w:pPr>
          </w:p>
        </w:tc>
      </w:tr>
    </w:tbl>
    <w:p w14:paraId="253996DD" w14:textId="77777777" w:rsidR="00983FC9" w:rsidRDefault="00983FC9"/>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731F7719" w14:textId="77777777">
        <w:tc>
          <w:tcPr>
            <w:tcW w:w="9212" w:type="dxa"/>
            <w:tcBorders>
              <w:top w:val="single" w:sz="4" w:space="0" w:color="auto"/>
              <w:left w:val="single" w:sz="4" w:space="0" w:color="auto"/>
              <w:bottom w:val="single" w:sz="4" w:space="0" w:color="auto"/>
              <w:right w:val="single" w:sz="4" w:space="0" w:color="auto"/>
            </w:tcBorders>
          </w:tcPr>
          <w:p w14:paraId="2D5D6604" w14:textId="77777777" w:rsidR="00983FC9" w:rsidRDefault="00387D1F">
            <w:pPr>
              <w:tabs>
                <w:tab w:val="left" w:pos="7465"/>
              </w:tabs>
              <w:rPr>
                <w:rFonts w:ascii="Arial Narrow" w:hAnsi="Arial Narrow"/>
                <w:b/>
                <w:sz w:val="22"/>
              </w:rPr>
            </w:pPr>
            <w:r>
              <w:rPr>
                <w:rFonts w:ascii="Arial Narrow" w:hAnsi="Arial Narrow"/>
                <w:b/>
                <w:sz w:val="22"/>
              </w:rPr>
              <w:t>1.3 Beruht die neue Untersuchungs- und Behandlungsmethode vollständig oder in Teilen auf dem Einsatz eines Medizinproduktes?</w:t>
            </w:r>
            <w:r>
              <w:rPr>
                <w:rFonts w:ascii="Arial Narrow" w:hAnsi="Arial Narrow"/>
                <w:b/>
                <w:sz w:val="22"/>
              </w:rPr>
              <w:tab/>
            </w:r>
          </w:p>
        </w:tc>
      </w:tr>
      <w:tr w:rsidR="00983FC9" w14:paraId="54922EC7" w14:textId="77777777">
        <w:tc>
          <w:tcPr>
            <w:tcW w:w="9212" w:type="dxa"/>
            <w:tcBorders>
              <w:top w:val="single" w:sz="4" w:space="0" w:color="auto"/>
              <w:left w:val="single" w:sz="4" w:space="0" w:color="auto"/>
              <w:bottom w:val="single" w:sz="4" w:space="0" w:color="auto"/>
              <w:right w:val="single" w:sz="4" w:space="0" w:color="auto"/>
            </w:tcBorders>
          </w:tcPr>
          <w:p w14:paraId="1928FD82" w14:textId="77777777" w:rsidR="00983FC9" w:rsidRDefault="00387D1F">
            <w:pPr>
              <w:rPr>
                <w:rFonts w:ascii="Arial Narrow" w:hAnsi="Arial Narrow"/>
                <w:color w:val="00B050"/>
                <w:sz w:val="22"/>
              </w:rPr>
            </w:pPr>
            <w:r>
              <w:rPr>
                <w:rFonts w:ascii="Arial Narrow" w:hAnsi="Arial Narrow"/>
                <w:color w:val="00B050"/>
                <w:sz w:val="22"/>
              </w:rPr>
              <w:t>Hier nein ankreuzen</w:t>
            </w:r>
          </w:p>
        </w:tc>
      </w:tr>
    </w:tbl>
    <w:p w14:paraId="07197E3C"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10B8D092" w14:textId="77777777">
        <w:tc>
          <w:tcPr>
            <w:tcW w:w="9212" w:type="dxa"/>
          </w:tcPr>
          <w:p w14:paraId="780C7386" w14:textId="008E2290" w:rsidR="00983FC9" w:rsidRDefault="00387D1F" w:rsidP="00A733E2">
            <w:pPr>
              <w:tabs>
                <w:tab w:val="left" w:pos="7465"/>
              </w:tabs>
              <w:rPr>
                <w:rFonts w:ascii="Arial Narrow" w:hAnsi="Arial Narrow"/>
                <w:b/>
              </w:rPr>
            </w:pPr>
            <w:r>
              <w:rPr>
                <w:rFonts w:ascii="Arial Narrow" w:hAnsi="Arial Narrow"/>
                <w:b/>
                <w:sz w:val="22"/>
              </w:rPr>
              <w:t>1.4 Wurde für diese angefragte Untersuchungs- und Behandlungsmethode von Ihrem Krankenhaus bereits vor dem 01.01.</w:t>
            </w:r>
            <w:r w:rsidR="00A733E2">
              <w:rPr>
                <w:rFonts w:ascii="Arial Narrow" w:hAnsi="Arial Narrow"/>
                <w:b/>
                <w:sz w:val="22"/>
              </w:rPr>
              <w:t xml:space="preserve">2022 </w:t>
            </w:r>
            <w:r>
              <w:rPr>
                <w:rFonts w:ascii="Arial Narrow" w:hAnsi="Arial Narrow"/>
                <w:b/>
                <w:sz w:val="22"/>
              </w:rPr>
              <w:t xml:space="preserve">eine Anfrage gemäß §6 Abs. 2 </w:t>
            </w:r>
            <w:proofErr w:type="spellStart"/>
            <w:r>
              <w:rPr>
                <w:rFonts w:ascii="Arial Narrow" w:hAnsi="Arial Narrow"/>
                <w:b/>
                <w:sz w:val="22"/>
              </w:rPr>
              <w:t>KHEntG</w:t>
            </w:r>
            <w:proofErr w:type="spellEnd"/>
            <w:r>
              <w:rPr>
                <w:rFonts w:ascii="Arial Narrow" w:hAnsi="Arial Narrow"/>
                <w:b/>
                <w:sz w:val="22"/>
              </w:rPr>
              <w:t xml:space="preserve"> an das </w:t>
            </w:r>
            <w:proofErr w:type="spellStart"/>
            <w:r>
              <w:rPr>
                <w:rFonts w:ascii="Arial Narrow" w:hAnsi="Arial Narrow"/>
                <w:b/>
                <w:sz w:val="22"/>
              </w:rPr>
              <w:t>InEK</w:t>
            </w:r>
            <w:proofErr w:type="spellEnd"/>
            <w:r>
              <w:rPr>
                <w:rFonts w:ascii="Arial Narrow" w:hAnsi="Arial Narrow"/>
                <w:b/>
                <w:sz w:val="22"/>
              </w:rPr>
              <w:t xml:space="preserve"> übermittelt </w:t>
            </w:r>
            <w:r>
              <w:rPr>
                <w:rFonts w:ascii="Arial Narrow" w:hAnsi="Arial Narrow"/>
                <w:b/>
                <w:sz w:val="22"/>
              </w:rPr>
              <w:tab/>
            </w:r>
          </w:p>
        </w:tc>
      </w:tr>
      <w:tr w:rsidR="00983FC9" w14:paraId="5D6495D4" w14:textId="77777777">
        <w:tc>
          <w:tcPr>
            <w:tcW w:w="9212" w:type="dxa"/>
          </w:tcPr>
          <w:p w14:paraId="1D26324E" w14:textId="77777777" w:rsidR="00983FC9" w:rsidRDefault="00387D1F">
            <w:pPr>
              <w:rPr>
                <w:rFonts w:ascii="Arial Narrow" w:hAnsi="Arial Narrow"/>
              </w:rPr>
            </w:pPr>
            <w:r>
              <w:rPr>
                <w:rFonts w:ascii="Arial Narrow" w:hAnsi="Arial Narrow"/>
                <w:sz w:val="22"/>
                <w:highlight w:val="yellow"/>
              </w:rPr>
              <w:t>Ja/nein</w:t>
            </w:r>
          </w:p>
        </w:tc>
      </w:tr>
    </w:tbl>
    <w:p w14:paraId="76D4C865"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3B44065C" w14:textId="77777777">
        <w:tc>
          <w:tcPr>
            <w:tcW w:w="9212" w:type="dxa"/>
          </w:tcPr>
          <w:p w14:paraId="5C18B77C" w14:textId="77777777" w:rsidR="00983FC9" w:rsidRDefault="00387D1F">
            <w:pPr>
              <w:rPr>
                <w:rFonts w:ascii="Arial Narrow" w:hAnsi="Arial Narrow"/>
                <w:b/>
              </w:rPr>
            </w:pPr>
            <w:r>
              <w:rPr>
                <w:rFonts w:ascii="Arial Narrow" w:hAnsi="Arial Narrow"/>
                <w:b/>
                <w:sz w:val="22"/>
              </w:rPr>
              <w:t>1.5 Beschreibung der neuen Methode</w:t>
            </w:r>
          </w:p>
        </w:tc>
      </w:tr>
      <w:tr w:rsidR="00983FC9" w14:paraId="3FFBB8A6" w14:textId="77777777">
        <w:tc>
          <w:tcPr>
            <w:tcW w:w="9212" w:type="dxa"/>
          </w:tcPr>
          <w:p w14:paraId="3BB4C9FE" w14:textId="67D098CB" w:rsidR="00983FC9" w:rsidRDefault="00387D1F">
            <w:pPr>
              <w:rPr>
                <w:rFonts w:ascii="Arial Narrow" w:hAnsi="Arial Narrow"/>
                <w:sz w:val="22"/>
              </w:rPr>
            </w:pPr>
            <w:r>
              <w:rPr>
                <w:rFonts w:ascii="Arial Narrow" w:hAnsi="Arial Narrow"/>
                <w:sz w:val="22"/>
              </w:rPr>
              <w:t xml:space="preserve">In-vitro-aufbereitete Spender-Lymphozyten, werden dem Patienten transfundiert, der nach einer </w:t>
            </w:r>
            <w:proofErr w:type="spellStart"/>
            <w:r>
              <w:rPr>
                <w:rFonts w:ascii="Arial Narrow" w:hAnsi="Arial Narrow"/>
                <w:sz w:val="22"/>
              </w:rPr>
              <w:t>allogenen</w:t>
            </w:r>
            <w:proofErr w:type="spellEnd"/>
            <w:r>
              <w:rPr>
                <w:rFonts w:ascii="Arial Narrow" w:hAnsi="Arial Narrow"/>
                <w:sz w:val="22"/>
              </w:rPr>
              <w:t xml:space="preserve"> Stammzelltransplantation (SZT) an einer Virusinfektion leidet,  die mit </w:t>
            </w:r>
            <w:proofErr w:type="spellStart"/>
            <w:r>
              <w:rPr>
                <w:rFonts w:ascii="Arial Narrow" w:hAnsi="Arial Narrow"/>
                <w:sz w:val="22"/>
              </w:rPr>
              <w:t>Virostatika</w:t>
            </w:r>
            <w:proofErr w:type="spellEnd"/>
            <w:r>
              <w:rPr>
                <w:rFonts w:ascii="Arial Narrow" w:hAnsi="Arial Narrow"/>
                <w:sz w:val="22"/>
              </w:rPr>
              <w:t xml:space="preserve"> (Chemotherapie gegen Viren) nicht beherrschbar ist. Diese speziell für diesen Patienten aufbereiteten Spenderlymphozyten sind spezifisch gegen die Virusinfektion gerichtet, an der der Patient leidet. </w:t>
            </w:r>
          </w:p>
          <w:p w14:paraId="21B5F58F" w14:textId="77777777" w:rsidR="00983FC9" w:rsidRDefault="00983FC9">
            <w:pPr>
              <w:rPr>
                <w:rFonts w:ascii="Arial Narrow" w:hAnsi="Arial Narrow"/>
                <w:sz w:val="22"/>
              </w:rPr>
            </w:pPr>
          </w:p>
          <w:p w14:paraId="5C9A3215" w14:textId="4882A393" w:rsidR="00983FC9" w:rsidRDefault="00387D1F">
            <w:pPr>
              <w:rPr>
                <w:rFonts w:ascii="Arial Narrow" w:hAnsi="Arial Narrow"/>
                <w:sz w:val="22"/>
              </w:rPr>
            </w:pPr>
            <w:r>
              <w:rPr>
                <w:rFonts w:ascii="Arial Narrow" w:hAnsi="Arial Narrow"/>
                <w:sz w:val="22"/>
              </w:rPr>
              <w:t xml:space="preserve">Bei der Herstellung der Zellen, werden die T- Lymphozyten eines gesunden, </w:t>
            </w:r>
            <w:proofErr w:type="spellStart"/>
            <w:r>
              <w:rPr>
                <w:rFonts w:ascii="Arial Narrow" w:hAnsi="Arial Narrow"/>
                <w:sz w:val="22"/>
              </w:rPr>
              <w:t>seropositiven</w:t>
            </w:r>
            <w:proofErr w:type="spellEnd"/>
            <w:r>
              <w:rPr>
                <w:rFonts w:ascii="Arial Narrow" w:hAnsi="Arial Narrow"/>
                <w:sz w:val="22"/>
              </w:rPr>
              <w:t xml:space="preserve"> (für die zu behandelnde Virusinfektion besteht eine Immunantwort beim Spender) Spenders selektiert  und dann nach weiterer Bearbeitung dem Patienten mittels einer Transfusion  gegeben. Das Immunsystem des Patienten ist dann mit Hilfe dieser Zellen in der Lage, die Infektion gezielt und langanhaltend zu bekämpfen und zu kontrollieren.</w:t>
            </w:r>
          </w:p>
          <w:p w14:paraId="2280463E" w14:textId="77777777" w:rsidR="00983FC9" w:rsidRDefault="00983FC9">
            <w:pPr>
              <w:rPr>
                <w:rFonts w:ascii="Arial Narrow" w:hAnsi="Arial Narrow"/>
                <w:sz w:val="22"/>
              </w:rPr>
            </w:pPr>
          </w:p>
          <w:p w14:paraId="2E13809B" w14:textId="77777777" w:rsidR="00983FC9" w:rsidRDefault="00387D1F">
            <w:pPr>
              <w:rPr>
                <w:rFonts w:ascii="Arial Narrow" w:hAnsi="Arial Narrow"/>
                <w:sz w:val="22"/>
              </w:rPr>
            </w:pPr>
            <w:r>
              <w:rPr>
                <w:rFonts w:ascii="Arial Narrow" w:hAnsi="Arial Narrow"/>
                <w:sz w:val="22"/>
              </w:rPr>
              <w:t xml:space="preserve">Die Selektion kann entweder mit </w:t>
            </w:r>
            <w:proofErr w:type="spellStart"/>
            <w:r>
              <w:rPr>
                <w:rFonts w:ascii="Arial Narrow" w:hAnsi="Arial Narrow"/>
                <w:sz w:val="22"/>
              </w:rPr>
              <w:t>Streptameren</w:t>
            </w:r>
            <w:proofErr w:type="spellEnd"/>
            <w:r>
              <w:rPr>
                <w:rFonts w:ascii="Arial Narrow" w:hAnsi="Arial Narrow"/>
                <w:sz w:val="22"/>
              </w:rPr>
              <w:t xml:space="preserve"> oder mittels </w:t>
            </w:r>
            <w:proofErr w:type="spellStart"/>
            <w:r>
              <w:rPr>
                <w:rFonts w:ascii="Arial Narrow" w:hAnsi="Arial Narrow"/>
                <w:sz w:val="22"/>
              </w:rPr>
              <w:t>Cytokin</w:t>
            </w:r>
            <w:proofErr w:type="spellEnd"/>
            <w:r>
              <w:rPr>
                <w:rFonts w:ascii="Arial Narrow" w:hAnsi="Arial Narrow"/>
                <w:sz w:val="22"/>
              </w:rPr>
              <w:t xml:space="preserve">-Capture Assay durchgeführt werden. Beide Methoden werden in GMP-Labore einzelner Kliniken eingesetzt.  </w:t>
            </w:r>
          </w:p>
          <w:p w14:paraId="637418CE" w14:textId="77777777" w:rsidR="00983FC9" w:rsidRDefault="00387D1F">
            <w:pPr>
              <w:rPr>
                <w:rFonts w:ascii="Arial Narrow" w:hAnsi="Arial Narrow"/>
                <w:sz w:val="22"/>
              </w:rPr>
            </w:pPr>
            <w:r>
              <w:rPr>
                <w:rFonts w:ascii="Arial Narrow" w:hAnsi="Arial Narrow"/>
                <w:sz w:val="22"/>
              </w:rPr>
              <w:t>Das kommerzielle System (</w:t>
            </w:r>
            <w:proofErr w:type="spellStart"/>
            <w:r>
              <w:rPr>
                <w:rFonts w:ascii="Arial Narrow" w:hAnsi="Arial Narrow"/>
                <w:sz w:val="22"/>
              </w:rPr>
              <w:t>Cytovir</w:t>
            </w:r>
            <w:proofErr w:type="spellEnd"/>
            <w:r>
              <w:rPr>
                <w:rFonts w:ascii="Arial Narrow" w:hAnsi="Arial Narrow"/>
                <w:sz w:val="22"/>
              </w:rPr>
              <w:t xml:space="preserve"> CMV®)  für den gesamten Prozess ist nicht mehr erhältlich .</w:t>
            </w:r>
          </w:p>
          <w:p w14:paraId="77E87F5C" w14:textId="77777777" w:rsidR="00983FC9" w:rsidRDefault="00983FC9">
            <w:pPr>
              <w:rPr>
                <w:rFonts w:ascii="Arial Narrow" w:hAnsi="Arial Narrow"/>
                <w:sz w:val="22"/>
              </w:rPr>
            </w:pPr>
          </w:p>
          <w:p w14:paraId="2D6AD52C" w14:textId="77777777" w:rsidR="00983FC9" w:rsidRDefault="00387D1F">
            <w:pPr>
              <w:rPr>
                <w:rFonts w:ascii="Arial Narrow" w:hAnsi="Arial Narrow"/>
                <w:sz w:val="22"/>
              </w:rPr>
            </w:pPr>
            <w:r>
              <w:rPr>
                <w:rFonts w:ascii="Arial Narrow" w:hAnsi="Arial Narrow"/>
                <w:sz w:val="22"/>
              </w:rPr>
              <w:t>Evidenz :</w:t>
            </w:r>
          </w:p>
          <w:p w14:paraId="7680D06C" w14:textId="7A4AA742" w:rsidR="00983FC9" w:rsidRDefault="00387D1F">
            <w:pPr>
              <w:rPr>
                <w:rFonts w:ascii="Arial Narrow" w:hAnsi="Arial Narrow"/>
                <w:sz w:val="22"/>
              </w:rPr>
            </w:pPr>
            <w:r>
              <w:rPr>
                <w:rFonts w:ascii="Arial Narrow" w:hAnsi="Arial Narrow"/>
                <w:sz w:val="22"/>
              </w:rPr>
              <w:lastRenderedPageBreak/>
              <w:t xml:space="preserve">In den letzten Jahren sind viele Publikationen über die Gabe der virusspezifischen Zellen erschienen. Eine Zusammenfassung über 36  Studien  bzw. Anwendungsserien  sind nun von </w:t>
            </w:r>
            <w:r w:rsidR="00E42C90">
              <w:rPr>
                <w:rFonts w:ascii="Arial Narrow" w:hAnsi="Arial Narrow"/>
                <w:sz w:val="22"/>
              </w:rPr>
              <w:t>Käuferle</w:t>
            </w:r>
            <w:r>
              <w:rPr>
                <w:rFonts w:ascii="Arial Narrow" w:hAnsi="Arial Narrow"/>
                <w:sz w:val="22"/>
              </w:rPr>
              <w:t xml:space="preserve"> et al (</w:t>
            </w:r>
            <w:r w:rsidR="00E42C90" w:rsidRPr="00E42C90">
              <w:rPr>
                <w:rFonts w:ascii="Arial Narrow" w:hAnsi="Arial Narrow"/>
                <w:sz w:val="22"/>
              </w:rPr>
              <w:t xml:space="preserve">J </w:t>
            </w:r>
            <w:proofErr w:type="spellStart"/>
            <w:r w:rsidR="00E42C90" w:rsidRPr="00E42C90">
              <w:rPr>
                <w:rFonts w:ascii="Arial Narrow" w:hAnsi="Arial Narrow"/>
                <w:sz w:val="22"/>
              </w:rPr>
              <w:t>Hem</w:t>
            </w:r>
            <w:r w:rsidR="00E42C90">
              <w:rPr>
                <w:rFonts w:ascii="Arial Narrow" w:hAnsi="Arial Narrow"/>
                <w:sz w:val="22"/>
              </w:rPr>
              <w:t>atol</w:t>
            </w:r>
            <w:proofErr w:type="spellEnd"/>
            <w:r w:rsidR="00E42C90">
              <w:rPr>
                <w:rFonts w:ascii="Arial Narrow" w:hAnsi="Arial Narrow"/>
                <w:sz w:val="22"/>
              </w:rPr>
              <w:t xml:space="preserve"> </w:t>
            </w:r>
            <w:proofErr w:type="spellStart"/>
            <w:r w:rsidR="00E42C90">
              <w:rPr>
                <w:rFonts w:ascii="Arial Narrow" w:hAnsi="Arial Narrow"/>
                <w:sz w:val="22"/>
              </w:rPr>
              <w:t>Oncol</w:t>
            </w:r>
            <w:proofErr w:type="spellEnd"/>
            <w:r w:rsidR="00E42C90">
              <w:rPr>
                <w:rFonts w:ascii="Arial Narrow" w:hAnsi="Arial Narrow"/>
                <w:sz w:val="22"/>
              </w:rPr>
              <w:t>. 2019 Feb 6;12(1):13</w:t>
            </w:r>
            <w:r>
              <w:rPr>
                <w:rFonts w:ascii="Arial Narrow" w:hAnsi="Arial Narrow"/>
                <w:sz w:val="22"/>
              </w:rPr>
              <w:t xml:space="preserve">) publiziert worden. Sie zeigen eine hohe Ansprechrate, bei den überwiegend kleinen Fallzahlen (lokal) sind Prozentangaben nicht sinnvoll. </w:t>
            </w:r>
          </w:p>
          <w:p w14:paraId="46C8BE76" w14:textId="14BFB70B" w:rsidR="00983FC9" w:rsidRDefault="00387D1F">
            <w:pPr>
              <w:rPr>
                <w:rFonts w:ascii="Arial Narrow" w:hAnsi="Arial Narrow"/>
                <w:sz w:val="22"/>
              </w:rPr>
            </w:pPr>
            <w:r>
              <w:rPr>
                <w:rFonts w:ascii="Arial Narrow" w:hAnsi="Arial Narrow"/>
                <w:sz w:val="22"/>
              </w:rPr>
              <w:t>Bei den Patienten mit medikamentös nicht therapierbarer Virusinfektion ist die Gabe von viruss</w:t>
            </w:r>
            <w:r w:rsidR="00E42C90">
              <w:rPr>
                <w:rFonts w:ascii="Arial Narrow" w:hAnsi="Arial Narrow"/>
                <w:sz w:val="22"/>
              </w:rPr>
              <w:t>p</w:t>
            </w:r>
            <w:r>
              <w:rPr>
                <w:rFonts w:ascii="Arial Narrow" w:hAnsi="Arial Narrow"/>
                <w:sz w:val="22"/>
              </w:rPr>
              <w:t>ezifischen Zellen oftmals noch die einzige therapeutische Option.</w:t>
            </w:r>
          </w:p>
          <w:p w14:paraId="05AC59BF" w14:textId="19DDD41A" w:rsidR="00983FC9" w:rsidRDefault="00983FC9">
            <w:pPr>
              <w:rPr>
                <w:rFonts w:ascii="Arial Narrow" w:hAnsi="Arial Narrow"/>
              </w:rPr>
            </w:pPr>
          </w:p>
        </w:tc>
      </w:tr>
    </w:tbl>
    <w:p w14:paraId="36E77DFD"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4B295856" w14:textId="77777777">
        <w:tc>
          <w:tcPr>
            <w:tcW w:w="9212" w:type="dxa"/>
          </w:tcPr>
          <w:p w14:paraId="69D929E6" w14:textId="77777777" w:rsidR="00983FC9" w:rsidRDefault="00387D1F">
            <w:pPr>
              <w:rPr>
                <w:rFonts w:ascii="Arial Narrow" w:hAnsi="Arial Narrow"/>
                <w:b/>
              </w:rPr>
            </w:pPr>
            <w:r>
              <w:rPr>
                <w:rFonts w:ascii="Arial Narrow" w:hAnsi="Arial Narrow"/>
                <w:b/>
                <w:sz w:val="22"/>
              </w:rPr>
              <w:t>1.6 Mit welchem OPS wird die Methode verschlüsselt?</w:t>
            </w:r>
          </w:p>
        </w:tc>
      </w:tr>
      <w:tr w:rsidR="00983FC9" w14:paraId="71A41D22" w14:textId="77777777">
        <w:tc>
          <w:tcPr>
            <w:tcW w:w="9212" w:type="dxa"/>
          </w:tcPr>
          <w:p w14:paraId="0C2EB7C8" w14:textId="3DE5C699" w:rsidR="00983FC9" w:rsidRDefault="00387D1F">
            <w:pPr>
              <w:rPr>
                <w:rFonts w:ascii="Arial Narrow" w:hAnsi="Arial Narrow"/>
                <w:sz w:val="22"/>
              </w:rPr>
            </w:pPr>
            <w:r>
              <w:rPr>
                <w:rFonts w:ascii="Arial Narrow" w:hAnsi="Arial Narrow"/>
                <w:sz w:val="22"/>
              </w:rPr>
              <w:t xml:space="preserve">8-802.21 </w:t>
            </w:r>
          </w:p>
          <w:p w14:paraId="774D33A4" w14:textId="3EF48E1F" w:rsidR="00983FC9" w:rsidRDefault="00387D1F">
            <w:pPr>
              <w:rPr>
                <w:rFonts w:ascii="Arial Narrow" w:hAnsi="Arial Narrow"/>
                <w:sz w:val="22"/>
              </w:rPr>
            </w:pPr>
            <w:r>
              <w:rPr>
                <w:rFonts w:ascii="Arial Narrow" w:hAnsi="Arial Narrow"/>
                <w:sz w:val="22"/>
              </w:rPr>
              <w:t xml:space="preserve">8-802.31 </w:t>
            </w:r>
          </w:p>
          <w:p w14:paraId="67C31F6D" w14:textId="738D15BB" w:rsidR="00983FC9" w:rsidRDefault="00387D1F">
            <w:pPr>
              <w:rPr>
                <w:rFonts w:ascii="Arial Narrow" w:hAnsi="Arial Narrow"/>
                <w:sz w:val="22"/>
              </w:rPr>
            </w:pPr>
            <w:r>
              <w:rPr>
                <w:rFonts w:ascii="Arial Narrow" w:hAnsi="Arial Narrow"/>
                <w:sz w:val="22"/>
              </w:rPr>
              <w:t xml:space="preserve">8-802.42 </w:t>
            </w:r>
          </w:p>
          <w:p w14:paraId="43997463" w14:textId="06879754" w:rsidR="00983FC9" w:rsidRDefault="00387D1F">
            <w:pPr>
              <w:rPr>
                <w:rFonts w:ascii="Arial Narrow" w:hAnsi="Arial Narrow"/>
                <w:sz w:val="22"/>
              </w:rPr>
            </w:pPr>
            <w:r>
              <w:rPr>
                <w:rFonts w:ascii="Arial Narrow" w:hAnsi="Arial Narrow"/>
                <w:sz w:val="22"/>
              </w:rPr>
              <w:t xml:space="preserve">8-802.71 </w:t>
            </w:r>
          </w:p>
          <w:p w14:paraId="7782D7F7" w14:textId="1ACF576D" w:rsidR="00983FC9" w:rsidRDefault="00387D1F">
            <w:pPr>
              <w:rPr>
                <w:rFonts w:ascii="Arial Narrow" w:hAnsi="Arial Narrow"/>
                <w:sz w:val="22"/>
              </w:rPr>
            </w:pPr>
            <w:r>
              <w:rPr>
                <w:rFonts w:ascii="Arial Narrow" w:hAnsi="Arial Narrow"/>
                <w:sz w:val="22"/>
              </w:rPr>
              <w:t>8-802.81</w:t>
            </w:r>
          </w:p>
        </w:tc>
      </w:tr>
    </w:tbl>
    <w:p w14:paraId="3FFE8BAD"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18AB532A" w14:textId="77777777">
        <w:tc>
          <w:tcPr>
            <w:tcW w:w="9212" w:type="dxa"/>
          </w:tcPr>
          <w:p w14:paraId="23413C19" w14:textId="77777777" w:rsidR="00983FC9" w:rsidRDefault="00387D1F">
            <w:pPr>
              <w:rPr>
                <w:rFonts w:ascii="Arial Narrow" w:hAnsi="Arial Narrow"/>
                <w:b/>
              </w:rPr>
            </w:pPr>
            <w:r>
              <w:rPr>
                <w:rFonts w:ascii="Arial Narrow" w:hAnsi="Arial Narrow"/>
                <w:b/>
                <w:sz w:val="22"/>
              </w:rPr>
              <w:t xml:space="preserve">1.7 Anmerkungen zu den </w:t>
            </w:r>
            <w:proofErr w:type="spellStart"/>
            <w:r>
              <w:rPr>
                <w:rFonts w:ascii="Arial Narrow" w:hAnsi="Arial Narrow"/>
                <w:b/>
                <w:sz w:val="22"/>
              </w:rPr>
              <w:t>Proceduren</w:t>
            </w:r>
            <w:proofErr w:type="spellEnd"/>
          </w:p>
        </w:tc>
      </w:tr>
      <w:tr w:rsidR="00983FC9" w14:paraId="46DCE1B9" w14:textId="77777777">
        <w:tc>
          <w:tcPr>
            <w:tcW w:w="9212" w:type="dxa"/>
          </w:tcPr>
          <w:p w14:paraId="7FA2420E" w14:textId="77777777" w:rsidR="00983FC9" w:rsidRDefault="00387D1F">
            <w:pPr>
              <w:rPr>
                <w:rFonts w:ascii="Arial Narrow" w:hAnsi="Arial Narrow"/>
                <w:sz w:val="22"/>
                <w:szCs w:val="22"/>
              </w:rPr>
            </w:pPr>
            <w:r>
              <w:rPr>
                <w:rFonts w:ascii="Arial Narrow" w:hAnsi="Arial Narrow"/>
                <w:sz w:val="22"/>
                <w:szCs w:val="22"/>
              </w:rPr>
              <w:t>8-802.21 Lymphozyten, 1-5 TE, mit virusspezifischer In-Vitro-Aufbereitung.</w:t>
            </w:r>
          </w:p>
          <w:p w14:paraId="0ECCFE16" w14:textId="77777777" w:rsidR="00983FC9" w:rsidRDefault="00387D1F">
            <w:pPr>
              <w:rPr>
                <w:rFonts w:ascii="Arial Narrow" w:hAnsi="Arial Narrow"/>
                <w:sz w:val="22"/>
                <w:szCs w:val="22"/>
              </w:rPr>
            </w:pPr>
            <w:r>
              <w:rPr>
                <w:rFonts w:ascii="Arial Narrow" w:hAnsi="Arial Narrow"/>
                <w:sz w:val="22"/>
                <w:szCs w:val="22"/>
              </w:rPr>
              <w:t>8-802.31 Lymphozyten, mehr als 5 TE, mit virusspezifischer In-Vitro-Aufbereitung.</w:t>
            </w:r>
          </w:p>
          <w:p w14:paraId="693C5427" w14:textId="77777777" w:rsidR="00983FC9" w:rsidRDefault="00387D1F" w:rsidP="00A416F1">
            <w:pPr>
              <w:jc w:val="both"/>
              <w:rPr>
                <w:rFonts w:ascii="Arial Narrow" w:hAnsi="Arial Narrow"/>
                <w:sz w:val="22"/>
                <w:szCs w:val="22"/>
              </w:rPr>
            </w:pPr>
            <w:r>
              <w:rPr>
                <w:rFonts w:ascii="Arial Narrow" w:hAnsi="Arial Narrow"/>
                <w:sz w:val="22"/>
                <w:szCs w:val="22"/>
              </w:rPr>
              <w:t>8-802.42 Lymphozyten ohne erneute Gewinnung vom gleichen Spender nach Transplantation von hämatologischen Stammzellen mit virusspezifischer In-Vitro-Aufbereitung.</w:t>
            </w:r>
          </w:p>
          <w:p w14:paraId="4A7544EB" w14:textId="77777777" w:rsidR="00983FC9" w:rsidRDefault="00387D1F" w:rsidP="00A416F1">
            <w:pPr>
              <w:jc w:val="both"/>
              <w:rPr>
                <w:rFonts w:ascii="Arial Narrow" w:hAnsi="Arial Narrow"/>
                <w:sz w:val="22"/>
                <w:szCs w:val="22"/>
              </w:rPr>
            </w:pPr>
            <w:r>
              <w:rPr>
                <w:rFonts w:ascii="Arial Narrow" w:hAnsi="Arial Narrow"/>
                <w:sz w:val="22"/>
                <w:szCs w:val="22"/>
              </w:rPr>
              <w:t>8-802.71 Lymphozyten nach erneuter Gewinnung vom gleichen Spender nach Transplantation von hämatologischen Stammzellen mit virusspezifischer In-Vitro-Aufbereitung.</w:t>
            </w:r>
          </w:p>
          <w:p w14:paraId="0FE1C2AA" w14:textId="77777777" w:rsidR="00983FC9" w:rsidRDefault="00387D1F" w:rsidP="00A416F1">
            <w:pPr>
              <w:jc w:val="both"/>
              <w:rPr>
                <w:rFonts w:ascii="Arial Narrow" w:hAnsi="Arial Narrow"/>
                <w:sz w:val="22"/>
                <w:szCs w:val="22"/>
              </w:rPr>
            </w:pPr>
            <w:r>
              <w:rPr>
                <w:rFonts w:ascii="Arial Narrow" w:hAnsi="Arial Narrow"/>
                <w:sz w:val="22"/>
                <w:szCs w:val="22"/>
              </w:rPr>
              <w:t>8-802.81 Lymphozyten nach erneuter Gewinnung von einem anderen Spender, nach Transplantation von hämatologischen Stammzellen mit virusspezifischer In-Vitro-Aufbereitung.</w:t>
            </w:r>
          </w:p>
          <w:p w14:paraId="62F5BEAF" w14:textId="77777777" w:rsidR="00983FC9" w:rsidRDefault="00387D1F">
            <w:pPr>
              <w:rPr>
                <w:rFonts w:ascii="Arial Narrow" w:hAnsi="Arial Narrow"/>
                <w:sz w:val="22"/>
                <w:szCs w:val="22"/>
              </w:rPr>
            </w:pPr>
            <w:r>
              <w:rPr>
                <w:rFonts w:ascii="Arial Narrow" w:hAnsi="Arial Narrow"/>
                <w:sz w:val="22"/>
                <w:szCs w:val="22"/>
              </w:rPr>
              <w:t xml:space="preserve">Es kommen mehrere </w:t>
            </w:r>
            <w:proofErr w:type="spellStart"/>
            <w:r>
              <w:rPr>
                <w:rFonts w:ascii="Arial Narrow" w:hAnsi="Arial Narrow"/>
                <w:sz w:val="22"/>
                <w:szCs w:val="22"/>
              </w:rPr>
              <w:t>Prozedurenschlüssel</w:t>
            </w:r>
            <w:proofErr w:type="spellEnd"/>
            <w:r>
              <w:rPr>
                <w:rFonts w:ascii="Arial Narrow" w:hAnsi="Arial Narrow"/>
                <w:sz w:val="22"/>
                <w:szCs w:val="22"/>
              </w:rPr>
              <w:t xml:space="preserve"> in Frage, da die Kosten der Herstellung abhängig sind von den Spendern. Dies wird jetzt durch  die OPS-Ziffern ab 2019 klarer abgebildet.</w:t>
            </w:r>
          </w:p>
          <w:p w14:paraId="08A131FE" w14:textId="77777777" w:rsidR="00983FC9" w:rsidRDefault="00387D1F">
            <w:pPr>
              <w:rPr>
                <w:rFonts w:ascii="Arial Narrow" w:hAnsi="Arial Narrow"/>
                <w:sz w:val="22"/>
                <w:szCs w:val="22"/>
              </w:rPr>
            </w:pPr>
            <w:r>
              <w:rPr>
                <w:rFonts w:ascii="Arial Narrow" w:hAnsi="Arial Narrow"/>
                <w:sz w:val="22"/>
                <w:szCs w:val="22"/>
              </w:rPr>
              <w:t xml:space="preserve">Je nach Herstellungsgenehmigung sollte eine der OPS-Ziffern </w:t>
            </w:r>
            <w:proofErr w:type="spellStart"/>
            <w:r>
              <w:rPr>
                <w:rFonts w:ascii="Arial Narrow" w:hAnsi="Arial Narrow"/>
                <w:sz w:val="22"/>
                <w:szCs w:val="22"/>
              </w:rPr>
              <w:t>dazugefügt</w:t>
            </w:r>
            <w:proofErr w:type="spellEnd"/>
            <w:r>
              <w:rPr>
                <w:rFonts w:ascii="Arial Narrow" w:hAnsi="Arial Narrow"/>
                <w:sz w:val="22"/>
                <w:szCs w:val="22"/>
              </w:rPr>
              <w:t xml:space="preserve"> werden:</w:t>
            </w:r>
          </w:p>
          <w:p w14:paraId="2B079EC3" w14:textId="77777777" w:rsidR="00983FC9" w:rsidRDefault="00387D1F">
            <w:pPr>
              <w:rPr>
                <w:rFonts w:ascii="Arial Narrow" w:hAnsi="Arial Narrow"/>
                <w:sz w:val="22"/>
              </w:rPr>
            </w:pPr>
            <w:r>
              <w:rPr>
                <w:rFonts w:ascii="Arial Narrow" w:hAnsi="Arial Narrow"/>
                <w:sz w:val="22"/>
              </w:rPr>
              <w:t>Zusatzkode entsprechend der Genehmigungen:</w:t>
            </w:r>
          </w:p>
          <w:p w14:paraId="5E626F3D" w14:textId="77777777" w:rsidR="00983FC9" w:rsidRDefault="00387D1F">
            <w:pPr>
              <w:rPr>
                <w:rFonts w:ascii="Arial Narrow" w:hAnsi="Arial Narrow"/>
                <w:sz w:val="22"/>
              </w:rPr>
            </w:pPr>
            <w:r>
              <w:rPr>
                <w:rFonts w:ascii="Arial Narrow" w:hAnsi="Arial Narrow"/>
                <w:sz w:val="22"/>
              </w:rPr>
              <w:t>5-936.0 Nationale Genehmigung</w:t>
            </w:r>
          </w:p>
          <w:p w14:paraId="01524D2F" w14:textId="77777777" w:rsidR="00983FC9" w:rsidRDefault="00387D1F">
            <w:pPr>
              <w:rPr>
                <w:rFonts w:ascii="Arial Narrow" w:hAnsi="Arial Narrow"/>
                <w:sz w:val="22"/>
              </w:rPr>
            </w:pPr>
            <w:r>
              <w:rPr>
                <w:rFonts w:ascii="Arial Narrow" w:hAnsi="Arial Narrow"/>
                <w:sz w:val="22"/>
              </w:rPr>
              <w:t>5-936.1 Internationale Zulassung</w:t>
            </w:r>
          </w:p>
          <w:p w14:paraId="4D67A544" w14:textId="77777777" w:rsidR="00983FC9" w:rsidRDefault="00387D1F">
            <w:pPr>
              <w:rPr>
                <w:rFonts w:ascii="Arial Narrow" w:hAnsi="Arial Narrow"/>
                <w:sz w:val="22"/>
              </w:rPr>
            </w:pPr>
            <w:r>
              <w:rPr>
                <w:rFonts w:ascii="Arial Narrow" w:hAnsi="Arial Narrow"/>
                <w:sz w:val="22"/>
              </w:rPr>
              <w:t>5-936.2 Herstellungserlaubnis nach § 13 Abs. 4 Arzneimittelgesetz</w:t>
            </w:r>
          </w:p>
          <w:p w14:paraId="1C3C0D74" w14:textId="77777777" w:rsidR="00983FC9" w:rsidRDefault="00983FC9">
            <w:pPr>
              <w:rPr>
                <w:rFonts w:ascii="Arial Narrow" w:hAnsi="Arial Narrow"/>
                <w:sz w:val="22"/>
                <w:szCs w:val="22"/>
              </w:rPr>
            </w:pPr>
          </w:p>
        </w:tc>
      </w:tr>
    </w:tbl>
    <w:p w14:paraId="22CC5418"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37269864" w14:textId="77777777">
        <w:tc>
          <w:tcPr>
            <w:tcW w:w="9212" w:type="dxa"/>
          </w:tcPr>
          <w:p w14:paraId="13C2E70D" w14:textId="77777777" w:rsidR="00983FC9" w:rsidRDefault="00387D1F">
            <w:pPr>
              <w:rPr>
                <w:rFonts w:ascii="Arial Narrow" w:hAnsi="Arial Narrow"/>
                <w:b/>
              </w:rPr>
            </w:pPr>
            <w:r>
              <w:rPr>
                <w:rFonts w:ascii="Arial Narrow" w:hAnsi="Arial Narrow"/>
                <w:b/>
                <w:sz w:val="22"/>
              </w:rPr>
              <w:t>2.1 Bei welchen Patienten wird die Methode angewandt (Indikation)?</w:t>
            </w:r>
          </w:p>
        </w:tc>
      </w:tr>
      <w:tr w:rsidR="00983FC9" w14:paraId="75D1A27E" w14:textId="77777777">
        <w:tc>
          <w:tcPr>
            <w:tcW w:w="9212" w:type="dxa"/>
          </w:tcPr>
          <w:p w14:paraId="5EB116C8" w14:textId="77777777" w:rsidR="00983FC9" w:rsidRDefault="00387D1F">
            <w:pPr>
              <w:rPr>
                <w:rFonts w:ascii="Arial Narrow" w:hAnsi="Arial Narrow"/>
                <w:sz w:val="22"/>
              </w:rPr>
            </w:pPr>
            <w:r>
              <w:rPr>
                <w:rFonts w:ascii="Arial Narrow" w:hAnsi="Arial Narrow"/>
                <w:sz w:val="22"/>
              </w:rPr>
              <w:t xml:space="preserve">Indikation: Therapierefraktäre Erkrankung durch eines der folgenden Viren. </w:t>
            </w:r>
          </w:p>
          <w:p w14:paraId="4AC3EA6C" w14:textId="50A1546A" w:rsidR="00983FC9" w:rsidRDefault="00387D1F">
            <w:pPr>
              <w:rPr>
                <w:rFonts w:ascii="Arial Narrow" w:hAnsi="Arial Narrow"/>
                <w:sz w:val="22"/>
              </w:rPr>
            </w:pPr>
            <w:r>
              <w:rPr>
                <w:rFonts w:ascii="Arial Narrow" w:hAnsi="Arial Narrow"/>
                <w:sz w:val="22"/>
              </w:rPr>
              <w:t xml:space="preserve">1) CMV: kein Ansprechen der Viruslast auf </w:t>
            </w:r>
            <w:proofErr w:type="spellStart"/>
            <w:r>
              <w:rPr>
                <w:rFonts w:ascii="Arial Narrow" w:hAnsi="Arial Narrow"/>
                <w:sz w:val="22"/>
              </w:rPr>
              <w:t>Ganciclovir</w:t>
            </w:r>
            <w:proofErr w:type="spellEnd"/>
            <w:r>
              <w:rPr>
                <w:rFonts w:ascii="Arial Narrow" w:hAnsi="Arial Narrow"/>
                <w:sz w:val="22"/>
              </w:rPr>
              <w:t xml:space="preserve"> bzw. </w:t>
            </w:r>
            <w:proofErr w:type="spellStart"/>
            <w:r>
              <w:rPr>
                <w:rFonts w:ascii="Arial Narrow" w:hAnsi="Arial Narrow"/>
                <w:sz w:val="22"/>
              </w:rPr>
              <w:t>Salvagetherapie</w:t>
            </w:r>
            <w:proofErr w:type="spellEnd"/>
            <w:r>
              <w:rPr>
                <w:rFonts w:ascii="Arial Narrow" w:hAnsi="Arial Narrow"/>
                <w:sz w:val="22"/>
              </w:rPr>
              <w:t xml:space="preserve"> mit </w:t>
            </w:r>
            <w:proofErr w:type="spellStart"/>
            <w:r>
              <w:rPr>
                <w:rFonts w:ascii="Arial Narrow" w:hAnsi="Arial Narrow"/>
                <w:sz w:val="22"/>
              </w:rPr>
              <w:t>Foscarnet</w:t>
            </w:r>
            <w:proofErr w:type="spellEnd"/>
            <w:r>
              <w:rPr>
                <w:rFonts w:ascii="Arial Narrow" w:hAnsi="Arial Narrow"/>
                <w:sz w:val="22"/>
              </w:rPr>
              <w:t xml:space="preserve"> oder </w:t>
            </w:r>
            <w:proofErr w:type="spellStart"/>
            <w:r>
              <w:rPr>
                <w:rFonts w:ascii="Arial Narrow" w:hAnsi="Arial Narrow"/>
                <w:sz w:val="22"/>
              </w:rPr>
              <w:t>Cidofovir</w:t>
            </w:r>
            <w:proofErr w:type="spellEnd"/>
            <w:r>
              <w:rPr>
                <w:rFonts w:ascii="Arial Narrow" w:hAnsi="Arial Narrow"/>
                <w:sz w:val="22"/>
              </w:rPr>
              <w:t xml:space="preserve">, oder  rezidivierende CMV-Reaktivierungen trotz Therapie mit </w:t>
            </w:r>
            <w:proofErr w:type="spellStart"/>
            <w:r>
              <w:rPr>
                <w:rFonts w:ascii="Arial Narrow" w:hAnsi="Arial Narrow"/>
                <w:sz w:val="22"/>
              </w:rPr>
              <w:t>Virostatika</w:t>
            </w:r>
            <w:proofErr w:type="spellEnd"/>
            <w:r>
              <w:rPr>
                <w:rFonts w:ascii="Arial Narrow" w:hAnsi="Arial Narrow"/>
                <w:sz w:val="22"/>
              </w:rPr>
              <w:t xml:space="preserve">, oder es bestehen Kontraindikationen (Knochenmark- oder Nieren-Insuffizienz) für die Anwendung der oben genannten </w:t>
            </w:r>
            <w:proofErr w:type="spellStart"/>
            <w:r>
              <w:rPr>
                <w:rFonts w:ascii="Arial Narrow" w:hAnsi="Arial Narrow"/>
                <w:sz w:val="22"/>
              </w:rPr>
              <w:t>Virostatika</w:t>
            </w:r>
            <w:proofErr w:type="spellEnd"/>
            <w:r>
              <w:rPr>
                <w:rFonts w:ascii="Arial Narrow" w:hAnsi="Arial Narrow"/>
                <w:sz w:val="22"/>
              </w:rPr>
              <w:t xml:space="preserve">. </w:t>
            </w:r>
          </w:p>
          <w:p w14:paraId="5904FD10" w14:textId="77777777" w:rsidR="00983FC9" w:rsidRDefault="00387D1F">
            <w:pPr>
              <w:rPr>
                <w:rFonts w:ascii="Arial Narrow" w:hAnsi="Arial Narrow"/>
                <w:sz w:val="22"/>
              </w:rPr>
            </w:pPr>
            <w:r>
              <w:rPr>
                <w:rFonts w:ascii="Arial Narrow" w:hAnsi="Arial Narrow"/>
                <w:sz w:val="22"/>
              </w:rPr>
              <w:t xml:space="preserve">2) ADV: steigende Viruslast nach der zweiten Gabe von </w:t>
            </w:r>
            <w:proofErr w:type="spellStart"/>
            <w:r>
              <w:rPr>
                <w:rFonts w:ascii="Arial Narrow" w:hAnsi="Arial Narrow"/>
                <w:sz w:val="22"/>
              </w:rPr>
              <w:t>Cidofovir</w:t>
            </w:r>
            <w:proofErr w:type="spellEnd"/>
            <w:r>
              <w:rPr>
                <w:rFonts w:ascii="Arial Narrow" w:hAnsi="Arial Narrow"/>
                <w:sz w:val="22"/>
              </w:rPr>
              <w:t xml:space="preserve"> (quantitative PCR aus Serum), oder es bestehenden Kontraindikationen (z.B. Niereninsuffizienz) für die (z.B. Niereninsuffizienz) für die Anwendung von </w:t>
            </w:r>
            <w:proofErr w:type="spellStart"/>
            <w:r>
              <w:rPr>
                <w:rFonts w:ascii="Arial Narrow" w:hAnsi="Arial Narrow"/>
                <w:sz w:val="22"/>
              </w:rPr>
              <w:t>Cidofovir</w:t>
            </w:r>
            <w:proofErr w:type="spellEnd"/>
            <w:r>
              <w:rPr>
                <w:rFonts w:ascii="Arial Narrow" w:hAnsi="Arial Narrow"/>
                <w:sz w:val="22"/>
              </w:rPr>
              <w:t xml:space="preserve">. </w:t>
            </w:r>
          </w:p>
          <w:p w14:paraId="2F6D21C2" w14:textId="01673FA4" w:rsidR="00983FC9" w:rsidRDefault="00387D1F">
            <w:pPr>
              <w:rPr>
                <w:rFonts w:ascii="Arial Narrow" w:hAnsi="Arial Narrow"/>
                <w:sz w:val="22"/>
              </w:rPr>
            </w:pPr>
            <w:r>
              <w:rPr>
                <w:rFonts w:ascii="Arial Narrow" w:hAnsi="Arial Narrow"/>
                <w:sz w:val="22"/>
              </w:rPr>
              <w:t xml:space="preserve">3) EBV: ansteigender Virustiter trotz Anwendung von antiviraler Therapie z.B. </w:t>
            </w:r>
            <w:proofErr w:type="spellStart"/>
            <w:r>
              <w:rPr>
                <w:rFonts w:ascii="Arial Narrow" w:hAnsi="Arial Narrow"/>
                <w:sz w:val="22"/>
              </w:rPr>
              <w:t>Rituximab</w:t>
            </w:r>
            <w:proofErr w:type="spellEnd"/>
            <w:r>
              <w:rPr>
                <w:rFonts w:ascii="Arial Narrow" w:hAnsi="Arial Narrow"/>
                <w:sz w:val="22"/>
              </w:rPr>
              <w:t xml:space="preserve">, oder es bestehen Kontraindikationen (z.B. Niereninsuffizienz) für die Anwendung der oben genannten </w:t>
            </w:r>
            <w:proofErr w:type="spellStart"/>
            <w:r>
              <w:rPr>
                <w:rFonts w:ascii="Arial Narrow" w:hAnsi="Arial Narrow"/>
                <w:sz w:val="22"/>
              </w:rPr>
              <w:t>Virostatika</w:t>
            </w:r>
            <w:proofErr w:type="spellEnd"/>
            <w:r>
              <w:rPr>
                <w:rFonts w:ascii="Arial Narrow" w:hAnsi="Arial Narrow"/>
                <w:sz w:val="22"/>
              </w:rPr>
              <w:t xml:space="preserve">. </w:t>
            </w:r>
          </w:p>
          <w:p w14:paraId="08B4EC3E" w14:textId="77777777" w:rsidR="00983FC9" w:rsidRDefault="00387D1F">
            <w:pPr>
              <w:rPr>
                <w:rFonts w:ascii="Arial Narrow" w:hAnsi="Arial Narrow"/>
                <w:sz w:val="22"/>
              </w:rPr>
            </w:pPr>
            <w:r>
              <w:rPr>
                <w:rFonts w:ascii="Arial Narrow" w:hAnsi="Arial Narrow"/>
                <w:sz w:val="22"/>
              </w:rPr>
              <w:t xml:space="preserve">4) EBV-assoziiertes PTLD: Hinweis für Rezidiv nach Erstlinien-Therapie mit </w:t>
            </w:r>
            <w:proofErr w:type="spellStart"/>
            <w:r>
              <w:rPr>
                <w:rFonts w:ascii="Arial Narrow" w:hAnsi="Arial Narrow"/>
                <w:sz w:val="22"/>
              </w:rPr>
              <w:t>Rituximab</w:t>
            </w:r>
            <w:proofErr w:type="spellEnd"/>
            <w:r>
              <w:rPr>
                <w:rFonts w:ascii="Arial Narrow" w:hAnsi="Arial Narrow"/>
                <w:sz w:val="22"/>
              </w:rPr>
              <w:t xml:space="preserve">, z.B. erneut ansteigender Virustiter oder CD20-Downregulation auf den Zielzellen  (nachweisbar mittels FACS). </w:t>
            </w:r>
          </w:p>
          <w:p w14:paraId="1FD7B50E" w14:textId="77777777" w:rsidR="00983FC9" w:rsidRDefault="00387D1F">
            <w:pPr>
              <w:rPr>
                <w:rFonts w:ascii="Arial Narrow" w:hAnsi="Arial Narrow"/>
                <w:sz w:val="22"/>
              </w:rPr>
            </w:pPr>
            <w:r>
              <w:rPr>
                <w:rFonts w:ascii="Arial Narrow" w:hAnsi="Arial Narrow"/>
                <w:sz w:val="22"/>
              </w:rPr>
              <w:lastRenderedPageBreak/>
              <w:t>5) BK: bei schwerer BK assoziierter hämorrhagischer Zystitis sind BK spezifische Spender T-Zellen bereits erfolgreich nach Stammzelltransplantation eingesetzt worden. Gegen das BK-Virus ist derzeit keine weitere kausale Therapie bekannt.</w:t>
            </w:r>
          </w:p>
          <w:p w14:paraId="73073037" w14:textId="4DF36A13" w:rsidR="00983FC9" w:rsidRDefault="00387D1F">
            <w:pPr>
              <w:rPr>
                <w:rFonts w:ascii="Arial Narrow" w:hAnsi="Arial Narrow"/>
                <w:sz w:val="22"/>
                <w:szCs w:val="22"/>
              </w:rPr>
            </w:pPr>
            <w:r>
              <w:rPr>
                <w:rFonts w:ascii="Arial Narrow" w:hAnsi="Arial Narrow"/>
                <w:sz w:val="22"/>
              </w:rPr>
              <w:t xml:space="preserve"> </w:t>
            </w:r>
          </w:p>
        </w:tc>
      </w:tr>
    </w:tbl>
    <w:p w14:paraId="0653A700"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23DFC4A6" w14:textId="77777777">
        <w:trPr>
          <w:trHeight w:val="234"/>
        </w:trPr>
        <w:tc>
          <w:tcPr>
            <w:tcW w:w="9212" w:type="dxa"/>
          </w:tcPr>
          <w:p w14:paraId="523A5BC7" w14:textId="77777777" w:rsidR="00983FC9" w:rsidRDefault="00387D1F">
            <w:pPr>
              <w:rPr>
                <w:rFonts w:ascii="Arial Narrow" w:hAnsi="Arial Narrow"/>
                <w:b/>
                <w:sz w:val="20"/>
              </w:rPr>
            </w:pPr>
            <w:r>
              <w:rPr>
                <w:rFonts w:ascii="Arial Narrow" w:hAnsi="Arial Narrow"/>
                <w:b/>
                <w:sz w:val="20"/>
              </w:rPr>
              <w:t>2.2 Welche bestehende Methode wird durch die neue Methode abgelöst oder ergänzt?</w:t>
            </w:r>
          </w:p>
        </w:tc>
      </w:tr>
      <w:tr w:rsidR="00983FC9" w14:paraId="2AF31CAF" w14:textId="77777777">
        <w:tc>
          <w:tcPr>
            <w:tcW w:w="9212" w:type="dxa"/>
          </w:tcPr>
          <w:p w14:paraId="5A87E899" w14:textId="0E392981" w:rsidR="00983FC9" w:rsidRDefault="00387D1F">
            <w:pPr>
              <w:rPr>
                <w:rFonts w:ascii="Arial Narrow" w:hAnsi="Arial Narrow"/>
                <w:sz w:val="20"/>
                <w:szCs w:val="22"/>
              </w:rPr>
            </w:pPr>
            <w:r>
              <w:rPr>
                <w:rFonts w:ascii="Arial Narrow" w:hAnsi="Arial Narrow"/>
                <w:sz w:val="22"/>
              </w:rPr>
              <w:t xml:space="preserve">Die Übertragung von virusspezifischen Spender-Immunzellen ist eine neue Behandlungsmethode bei viraler Infektion nach </w:t>
            </w:r>
            <w:proofErr w:type="spellStart"/>
            <w:r>
              <w:rPr>
                <w:rFonts w:ascii="Arial Narrow" w:hAnsi="Arial Narrow"/>
                <w:sz w:val="22"/>
              </w:rPr>
              <w:t>allogener</w:t>
            </w:r>
            <w:proofErr w:type="spellEnd"/>
            <w:r>
              <w:rPr>
                <w:rFonts w:ascii="Arial Narrow" w:hAnsi="Arial Narrow"/>
                <w:sz w:val="22"/>
              </w:rPr>
              <w:t xml:space="preserve"> Stammzelltransplantation (SZT). Sie ergänzt oder reduziert möglicherweise die Gabe antiviraler Medikamente, wenn die Wirkung dieser Medikamente unzureichend ist und kann die Medikamentengabe evtl. sogar ersetzen. </w:t>
            </w:r>
          </w:p>
        </w:tc>
      </w:tr>
    </w:tbl>
    <w:p w14:paraId="4BA03D04"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1EC05C9A" w14:textId="77777777">
        <w:tc>
          <w:tcPr>
            <w:tcW w:w="9212" w:type="dxa"/>
          </w:tcPr>
          <w:p w14:paraId="5D519B51" w14:textId="77777777" w:rsidR="00983FC9" w:rsidRDefault="00387D1F">
            <w:pPr>
              <w:rPr>
                <w:rFonts w:ascii="Arial Narrow" w:hAnsi="Arial Narrow"/>
                <w:b/>
              </w:rPr>
            </w:pPr>
            <w:r>
              <w:rPr>
                <w:rFonts w:ascii="Arial Narrow" w:hAnsi="Arial Narrow"/>
                <w:b/>
                <w:sz w:val="22"/>
              </w:rPr>
              <w:t>2.3 Ist die Methode vollständig oder in Teilen neu und warum handelt es sich um eine neue Untersuchungs- und Behandlungsmethode?</w:t>
            </w:r>
          </w:p>
        </w:tc>
      </w:tr>
      <w:tr w:rsidR="00983FC9" w14:paraId="4EB17990" w14:textId="77777777">
        <w:tc>
          <w:tcPr>
            <w:tcW w:w="9212" w:type="dxa"/>
          </w:tcPr>
          <w:p w14:paraId="54AD422E" w14:textId="4EF71F2B" w:rsidR="00983FC9" w:rsidRDefault="00387D1F" w:rsidP="00A416F1">
            <w:pPr>
              <w:autoSpaceDE w:val="0"/>
              <w:autoSpaceDN w:val="0"/>
              <w:adjustRightInd w:val="0"/>
              <w:rPr>
                <w:rFonts w:ascii="Arial Narrow" w:hAnsi="Arial Narrow"/>
                <w:sz w:val="22"/>
              </w:rPr>
            </w:pPr>
            <w:r>
              <w:rPr>
                <w:rFonts w:ascii="Arial Narrow" w:hAnsi="Arial Narrow"/>
                <w:sz w:val="22"/>
              </w:rPr>
              <w:t xml:space="preserve">Bei der Übertragung virusspezifischen Spender-T-Zellen handelt es sich um eine vollständig neue Behandlungsmethode bei viralen Infektionen nach </w:t>
            </w:r>
            <w:proofErr w:type="spellStart"/>
            <w:r>
              <w:rPr>
                <w:rFonts w:ascii="Arial Narrow" w:hAnsi="Arial Narrow"/>
                <w:sz w:val="22"/>
              </w:rPr>
              <w:t>allogener</w:t>
            </w:r>
            <w:proofErr w:type="spellEnd"/>
            <w:r>
              <w:rPr>
                <w:rFonts w:ascii="Arial Narrow" w:hAnsi="Arial Narrow"/>
                <w:sz w:val="22"/>
              </w:rPr>
              <w:t xml:space="preserve"> Stammzelltransplantation, die </w:t>
            </w:r>
            <w:r w:rsidR="00762DE0">
              <w:rPr>
                <w:rFonts w:ascii="Arial Narrow" w:hAnsi="Arial Narrow"/>
                <w:sz w:val="22"/>
              </w:rPr>
              <w:t>vereinzelt</w:t>
            </w:r>
            <w:r>
              <w:rPr>
                <w:rFonts w:ascii="Arial Narrow" w:hAnsi="Arial Narrow"/>
                <w:sz w:val="22"/>
              </w:rPr>
              <w:t xml:space="preserve"> in</w:t>
            </w:r>
            <w:r w:rsidR="00E42C90">
              <w:rPr>
                <w:rFonts w:ascii="Arial Narrow" w:hAnsi="Arial Narrow"/>
                <w:sz w:val="22"/>
              </w:rPr>
              <w:t xml:space="preserve"> Fallserien oder Phase I/II </w:t>
            </w:r>
            <w:r>
              <w:rPr>
                <w:rFonts w:ascii="Arial Narrow" w:hAnsi="Arial Narrow"/>
                <w:sz w:val="22"/>
              </w:rPr>
              <w:t xml:space="preserve"> Studien ab 1996 eingesetzt wurde. </w:t>
            </w:r>
          </w:p>
          <w:p w14:paraId="15D0CE6F" w14:textId="77777777" w:rsidR="00983FC9" w:rsidRDefault="00387D1F">
            <w:pPr>
              <w:autoSpaceDE w:val="0"/>
              <w:autoSpaceDN w:val="0"/>
              <w:adjustRightInd w:val="0"/>
              <w:rPr>
                <w:rFonts w:ascii="Arial Narrow" w:hAnsi="Arial Narrow"/>
                <w:sz w:val="22"/>
              </w:rPr>
            </w:pPr>
            <w:r>
              <w:rPr>
                <w:rFonts w:ascii="Arial Narrow" w:hAnsi="Arial Narrow"/>
                <w:sz w:val="22"/>
              </w:rPr>
              <w:t xml:space="preserve">Zwar wurden Antigen-spezifische T-Zellen bereits in der Vergangenheit erfolgreich zur Bekämpfung viraler Infektionen nach </w:t>
            </w:r>
            <w:proofErr w:type="spellStart"/>
            <w:r>
              <w:rPr>
                <w:rFonts w:ascii="Arial Narrow" w:hAnsi="Arial Narrow"/>
                <w:sz w:val="22"/>
              </w:rPr>
              <w:t>allogener</w:t>
            </w:r>
            <w:proofErr w:type="spellEnd"/>
            <w:r>
              <w:rPr>
                <w:rFonts w:ascii="Arial Narrow" w:hAnsi="Arial Narrow"/>
                <w:sz w:val="22"/>
              </w:rPr>
              <w:t xml:space="preserve"> Stammzelltransplantation eingesetzt, das Hauptproblem bei der Therapie mit Antigen-spezifischen T-Zellen stellt aber deren Generierung dar. Bis zur Verfügbarkeit einer Separationsmöglichkeit war die Generierung von Antigen-spezifischen T-Zellen nur durch ein aufwändiges und mehrere Wochen bis Monate dauerndes in vitro </w:t>
            </w:r>
            <w:proofErr w:type="spellStart"/>
            <w:r>
              <w:rPr>
                <w:rFonts w:ascii="Arial Narrow" w:hAnsi="Arial Narrow"/>
                <w:sz w:val="22"/>
              </w:rPr>
              <w:t>Restimulationsverfahren</w:t>
            </w:r>
            <w:proofErr w:type="spellEnd"/>
            <w:r>
              <w:rPr>
                <w:rFonts w:ascii="Arial Narrow" w:hAnsi="Arial Narrow"/>
                <w:sz w:val="22"/>
              </w:rPr>
              <w:t xml:space="preserve"> möglich. In vielen Fällen war der Patient bereits verstorben, noch ehe das zelluläre Präparat fertig hergestellt war. Daher kam eine Anwendung von Antigen-spezifischen T-Zellen vor Etablierung einer entsprechenden Separationstechnik (ab 2004 </w:t>
            </w:r>
            <w:proofErr w:type="spellStart"/>
            <w:r>
              <w:rPr>
                <w:rFonts w:ascii="Arial Narrow" w:hAnsi="Arial Narrow"/>
                <w:sz w:val="22"/>
              </w:rPr>
              <w:t>Ramser</w:t>
            </w:r>
            <w:proofErr w:type="spellEnd"/>
            <w:r>
              <w:rPr>
                <w:rFonts w:ascii="Arial Narrow" w:hAnsi="Arial Narrow"/>
                <w:sz w:val="22"/>
              </w:rPr>
              <w:t xml:space="preserve"> et al Blood 2004) als Standardanwendung nicht in Frage.</w:t>
            </w:r>
          </w:p>
          <w:p w14:paraId="068C2523" w14:textId="77777777" w:rsidR="00983FC9" w:rsidRDefault="00983FC9">
            <w:pPr>
              <w:rPr>
                <w:rFonts w:ascii="Arial Narrow" w:hAnsi="Arial Narrow"/>
                <w:sz w:val="22"/>
              </w:rPr>
            </w:pPr>
          </w:p>
          <w:p w14:paraId="497954A7" w14:textId="5694574A" w:rsidR="00983FC9" w:rsidRDefault="00387D1F" w:rsidP="00A733E2">
            <w:pPr>
              <w:autoSpaceDE w:val="0"/>
              <w:autoSpaceDN w:val="0"/>
              <w:adjustRightInd w:val="0"/>
              <w:rPr>
                <w:rFonts w:ascii="Arial Narrow" w:hAnsi="Arial Narrow"/>
              </w:rPr>
            </w:pPr>
            <w:r>
              <w:rPr>
                <w:rFonts w:ascii="Arial Narrow" w:hAnsi="Arial Narrow"/>
                <w:sz w:val="22"/>
              </w:rPr>
              <w:t xml:space="preserve">Seither haben sich 2 sehr ähnliche </w:t>
            </w:r>
            <w:proofErr w:type="spellStart"/>
            <w:r>
              <w:rPr>
                <w:rFonts w:ascii="Arial Narrow" w:hAnsi="Arial Narrow"/>
                <w:sz w:val="22"/>
              </w:rPr>
              <w:t>Seperationstechniken</w:t>
            </w:r>
            <w:proofErr w:type="spellEnd"/>
            <w:r>
              <w:rPr>
                <w:rFonts w:ascii="Arial Narrow" w:hAnsi="Arial Narrow"/>
                <w:sz w:val="22"/>
              </w:rPr>
              <w:t xml:space="preserve"> (</w:t>
            </w:r>
            <w:proofErr w:type="spellStart"/>
            <w:r>
              <w:rPr>
                <w:rFonts w:ascii="Arial Narrow" w:hAnsi="Arial Narrow"/>
                <w:sz w:val="22"/>
              </w:rPr>
              <w:t>Streptamer</w:t>
            </w:r>
            <w:proofErr w:type="spellEnd"/>
            <w:r>
              <w:rPr>
                <w:rFonts w:ascii="Arial Narrow" w:hAnsi="Arial Narrow"/>
                <w:sz w:val="22"/>
              </w:rPr>
              <w:t xml:space="preserve"> oder mittels </w:t>
            </w:r>
            <w:proofErr w:type="spellStart"/>
            <w:r>
              <w:rPr>
                <w:rFonts w:ascii="Arial Narrow" w:hAnsi="Arial Narrow"/>
                <w:sz w:val="22"/>
              </w:rPr>
              <w:t>Cytokin</w:t>
            </w:r>
            <w:proofErr w:type="spellEnd"/>
            <w:r>
              <w:rPr>
                <w:rFonts w:ascii="Arial Narrow" w:hAnsi="Arial Narrow"/>
                <w:sz w:val="22"/>
              </w:rPr>
              <w:t>-Capture Assay) entwickelt, die bisher bei der klinischen Wirksamkeit keine entscheidende</w:t>
            </w:r>
            <w:r w:rsidR="00762DE0">
              <w:rPr>
                <w:rFonts w:ascii="Arial Narrow" w:hAnsi="Arial Narrow"/>
                <w:sz w:val="22"/>
              </w:rPr>
              <w:t>n</w:t>
            </w:r>
            <w:r>
              <w:rPr>
                <w:rFonts w:ascii="Arial Narrow" w:hAnsi="Arial Narrow"/>
                <w:sz w:val="22"/>
              </w:rPr>
              <w:t xml:space="preserve"> Unterschiede aufweisen und beide eingesetzt werden In den Informationen nach §6 Abs. 2 </w:t>
            </w:r>
            <w:proofErr w:type="spellStart"/>
            <w:r>
              <w:rPr>
                <w:rFonts w:ascii="Arial Narrow" w:hAnsi="Arial Narrow"/>
                <w:sz w:val="22"/>
              </w:rPr>
              <w:t>KHEntgG</w:t>
            </w:r>
            <w:proofErr w:type="spellEnd"/>
            <w:r>
              <w:rPr>
                <w:rFonts w:ascii="Arial Narrow" w:hAnsi="Arial Narrow"/>
                <w:sz w:val="22"/>
              </w:rPr>
              <w:t xml:space="preserve"> für 2021 hat die Übertragung von virusspezifischen Spender-Immunzellen nach </w:t>
            </w:r>
            <w:proofErr w:type="spellStart"/>
            <w:r>
              <w:rPr>
                <w:rFonts w:ascii="Arial Narrow" w:hAnsi="Arial Narrow"/>
                <w:sz w:val="22"/>
              </w:rPr>
              <w:t>allogener</w:t>
            </w:r>
            <w:proofErr w:type="spellEnd"/>
            <w:r>
              <w:rPr>
                <w:rFonts w:ascii="Arial Narrow" w:hAnsi="Arial Narrow"/>
                <w:sz w:val="22"/>
              </w:rPr>
              <w:t xml:space="preserve"> Stammzelltransplantation den Status 1 (Position </w:t>
            </w:r>
            <w:r w:rsidR="00A733E2">
              <w:rPr>
                <w:rFonts w:ascii="Arial Narrow" w:hAnsi="Arial Narrow"/>
                <w:sz w:val="22"/>
              </w:rPr>
              <w:t xml:space="preserve">132 </w:t>
            </w:r>
            <w:r>
              <w:rPr>
                <w:rFonts w:ascii="Arial Narrow" w:hAnsi="Arial Narrow"/>
                <w:sz w:val="22"/>
              </w:rPr>
              <w:t xml:space="preserve">der NUB-Liste </w:t>
            </w:r>
            <w:r w:rsidR="00A733E2">
              <w:rPr>
                <w:rFonts w:ascii="Arial Narrow" w:hAnsi="Arial Narrow"/>
                <w:sz w:val="22"/>
              </w:rPr>
              <w:t>2022</w:t>
            </w:r>
            <w:r>
              <w:rPr>
                <w:rFonts w:ascii="Arial Narrow" w:hAnsi="Arial Narrow"/>
                <w:sz w:val="22"/>
              </w:rPr>
              <w:t>)</w:t>
            </w:r>
            <w:r>
              <w:rPr>
                <w:rFonts w:ascii="Arial Narrow" w:hAnsi="Arial Narrow"/>
                <w:sz w:val="22"/>
                <w:szCs w:val="22"/>
              </w:rPr>
              <w:t xml:space="preserve"> </w:t>
            </w:r>
          </w:p>
        </w:tc>
      </w:tr>
    </w:tbl>
    <w:p w14:paraId="09915C90"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0413CB1F" w14:textId="77777777">
        <w:tc>
          <w:tcPr>
            <w:tcW w:w="9212" w:type="dxa"/>
          </w:tcPr>
          <w:p w14:paraId="2898AC39" w14:textId="77777777" w:rsidR="00983FC9" w:rsidRDefault="00387D1F">
            <w:pPr>
              <w:rPr>
                <w:rFonts w:ascii="Arial Narrow" w:hAnsi="Arial Narrow"/>
                <w:b/>
              </w:rPr>
            </w:pPr>
            <w:r>
              <w:rPr>
                <w:rFonts w:ascii="Arial Narrow" w:hAnsi="Arial Narrow"/>
                <w:b/>
                <w:sz w:val="22"/>
              </w:rPr>
              <w:t>2.4 Welche Auswirkungen hat die Methode auf die Verweildauer im Krankenhaus?</w:t>
            </w:r>
          </w:p>
        </w:tc>
      </w:tr>
      <w:tr w:rsidR="00983FC9" w14:paraId="4800EA11" w14:textId="77777777">
        <w:trPr>
          <w:trHeight w:val="264"/>
        </w:trPr>
        <w:tc>
          <w:tcPr>
            <w:tcW w:w="9212" w:type="dxa"/>
          </w:tcPr>
          <w:p w14:paraId="06641186" w14:textId="77777777" w:rsidR="00983FC9" w:rsidRDefault="00387D1F">
            <w:pPr>
              <w:rPr>
                <w:rFonts w:ascii="Arial Narrow" w:hAnsi="Arial Narrow"/>
              </w:rPr>
            </w:pPr>
            <w:r>
              <w:rPr>
                <w:rFonts w:ascii="Arial Narrow" w:hAnsi="Arial Narrow"/>
                <w:sz w:val="22"/>
              </w:rPr>
              <w:t>Zur Veränderung der Verweildauer im Krankenhaus können derzeit aufgrund fehlender Erfahrungen keine Aussagen gemacht werden.</w:t>
            </w:r>
          </w:p>
        </w:tc>
      </w:tr>
    </w:tbl>
    <w:p w14:paraId="66206457"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0592E760" w14:textId="77777777">
        <w:tc>
          <w:tcPr>
            <w:tcW w:w="9212" w:type="dxa"/>
          </w:tcPr>
          <w:p w14:paraId="03B65977" w14:textId="77777777" w:rsidR="00983FC9" w:rsidRDefault="00387D1F">
            <w:pPr>
              <w:rPr>
                <w:rFonts w:ascii="Arial Narrow" w:hAnsi="Arial Narrow"/>
                <w:b/>
              </w:rPr>
            </w:pPr>
            <w:r>
              <w:rPr>
                <w:rFonts w:ascii="Arial Narrow" w:hAnsi="Arial Narrow"/>
                <w:b/>
                <w:sz w:val="22"/>
              </w:rPr>
              <w:t>3.1 Wann wurde diese Methode in Deutschland eingeführt?</w:t>
            </w:r>
          </w:p>
        </w:tc>
      </w:tr>
      <w:tr w:rsidR="00983FC9" w14:paraId="28599CE2" w14:textId="77777777">
        <w:tc>
          <w:tcPr>
            <w:tcW w:w="9212" w:type="dxa"/>
          </w:tcPr>
          <w:p w14:paraId="6FC309BD" w14:textId="77777777" w:rsidR="00983FC9" w:rsidRDefault="00387D1F">
            <w:pPr>
              <w:rPr>
                <w:rFonts w:ascii="Arial Narrow" w:hAnsi="Arial Narrow"/>
                <w:sz w:val="22"/>
                <w:szCs w:val="22"/>
              </w:rPr>
            </w:pPr>
            <w:r>
              <w:rPr>
                <w:rFonts w:ascii="Arial Narrow" w:hAnsi="Arial Narrow"/>
                <w:sz w:val="22"/>
              </w:rPr>
              <w:t>2015</w:t>
            </w:r>
          </w:p>
        </w:tc>
      </w:tr>
    </w:tbl>
    <w:p w14:paraId="10E46272"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5F3EAC48" w14:textId="77777777">
        <w:tc>
          <w:tcPr>
            <w:tcW w:w="9212" w:type="dxa"/>
          </w:tcPr>
          <w:p w14:paraId="24A168D0" w14:textId="77777777" w:rsidR="00983FC9" w:rsidRDefault="00387D1F">
            <w:pPr>
              <w:rPr>
                <w:rFonts w:ascii="Arial Narrow" w:hAnsi="Arial Narrow"/>
                <w:b/>
              </w:rPr>
            </w:pPr>
            <w:r>
              <w:rPr>
                <w:rFonts w:ascii="Arial Narrow" w:hAnsi="Arial Narrow"/>
                <w:b/>
                <w:sz w:val="22"/>
              </w:rPr>
              <w:t>3.2 Bei Medikamenten: Wann wurde dieses Medikament zugelassen?</w:t>
            </w:r>
          </w:p>
        </w:tc>
      </w:tr>
      <w:tr w:rsidR="00983FC9" w14:paraId="590F0A12" w14:textId="77777777">
        <w:tc>
          <w:tcPr>
            <w:tcW w:w="9212" w:type="dxa"/>
          </w:tcPr>
          <w:p w14:paraId="02643342" w14:textId="25EAB303" w:rsidR="00983FC9" w:rsidRDefault="00387D1F">
            <w:pPr>
              <w:rPr>
                <w:rFonts w:ascii="Arial Narrow" w:hAnsi="Arial Narrow"/>
                <w:sz w:val="22"/>
                <w:szCs w:val="22"/>
              </w:rPr>
            </w:pPr>
            <w:proofErr w:type="spellStart"/>
            <w:r>
              <w:rPr>
                <w:rFonts w:ascii="Arial Narrow" w:hAnsi="Arial Narrow"/>
                <w:sz w:val="22"/>
              </w:rPr>
              <w:t>Allogene</w:t>
            </w:r>
            <w:proofErr w:type="spellEnd"/>
            <w:r>
              <w:rPr>
                <w:rFonts w:ascii="Arial Narrow" w:hAnsi="Arial Narrow"/>
                <w:sz w:val="22"/>
              </w:rPr>
              <w:t xml:space="preserve"> Blutzubereitungen bedürfen in Deutschland keiner Zulassung oder Genehmigung für das Inverkehrbringen. Eine Zulassungspflicht oder Genehmigungspflicht zum Inverkehrbringen nach §21a AMG entfällt daher für dieses Medikament. Dieses Medikament wird in Deutschland aufgrund einer Herstellungserlaubnis in Verkehr gebracht. Für das beantragte Medikament liegt die erforderliche Herstellungserlaubnis vor bzw. wird bei Herstellung im GMP-Labor einzelner Kliniken dort vorgelegt.</w:t>
            </w:r>
            <w:r>
              <w:t xml:space="preserve">  </w:t>
            </w:r>
          </w:p>
        </w:tc>
      </w:tr>
    </w:tbl>
    <w:p w14:paraId="31023CFE"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6F3CB502" w14:textId="77777777">
        <w:tc>
          <w:tcPr>
            <w:tcW w:w="9212" w:type="dxa"/>
          </w:tcPr>
          <w:p w14:paraId="3DEAAEB2" w14:textId="77777777" w:rsidR="00983FC9" w:rsidRDefault="00387D1F">
            <w:pPr>
              <w:rPr>
                <w:rFonts w:ascii="Arial Narrow" w:hAnsi="Arial Narrow"/>
                <w:b/>
              </w:rPr>
            </w:pPr>
            <w:r>
              <w:rPr>
                <w:rFonts w:ascii="Arial Narrow" w:hAnsi="Arial Narrow"/>
                <w:b/>
                <w:sz w:val="22"/>
              </w:rPr>
              <w:lastRenderedPageBreak/>
              <w:t>3.3 Wann wurde die Methode in Ihrem Krankenhaus eingeführt?</w:t>
            </w:r>
          </w:p>
        </w:tc>
      </w:tr>
      <w:tr w:rsidR="00983FC9" w14:paraId="196D6E3F" w14:textId="77777777">
        <w:tc>
          <w:tcPr>
            <w:tcW w:w="9212" w:type="dxa"/>
          </w:tcPr>
          <w:p w14:paraId="06F8FF79" w14:textId="7FAC6F49" w:rsidR="00983FC9" w:rsidRDefault="00387D1F" w:rsidP="00A416F1">
            <w:pPr>
              <w:rPr>
                <w:rFonts w:ascii="Arial Narrow" w:hAnsi="Arial Narrow"/>
              </w:rPr>
            </w:pPr>
            <w:r>
              <w:rPr>
                <w:rFonts w:ascii="Arial Narrow" w:hAnsi="Arial Narrow"/>
                <w:sz w:val="22"/>
                <w:highlight w:val="yellow"/>
              </w:rPr>
              <w:t>[bitte ergänzen]</w:t>
            </w:r>
          </w:p>
        </w:tc>
      </w:tr>
    </w:tbl>
    <w:p w14:paraId="162B1D96"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1259B232" w14:textId="77777777">
        <w:tc>
          <w:tcPr>
            <w:tcW w:w="9212" w:type="dxa"/>
          </w:tcPr>
          <w:p w14:paraId="0F1ACDE6" w14:textId="77777777" w:rsidR="00983FC9" w:rsidRDefault="00387D1F">
            <w:pPr>
              <w:rPr>
                <w:rFonts w:ascii="Arial Narrow" w:hAnsi="Arial Narrow"/>
                <w:b/>
              </w:rPr>
            </w:pPr>
            <w:r>
              <w:rPr>
                <w:rFonts w:ascii="Arial Narrow" w:hAnsi="Arial Narrow"/>
                <w:b/>
                <w:sz w:val="22"/>
              </w:rPr>
              <w:t>3.4 In wie vielen Kliniken wird diese Methode derzeit eingesetzt (Schätzung)?</w:t>
            </w:r>
          </w:p>
        </w:tc>
      </w:tr>
      <w:tr w:rsidR="00983FC9" w14:paraId="60446C7D" w14:textId="77777777">
        <w:tc>
          <w:tcPr>
            <w:tcW w:w="9212" w:type="dxa"/>
          </w:tcPr>
          <w:p w14:paraId="1615E023" w14:textId="77777777" w:rsidR="00983FC9" w:rsidRDefault="00387D1F">
            <w:pPr>
              <w:rPr>
                <w:rFonts w:ascii="Arial Narrow" w:hAnsi="Arial Narrow"/>
              </w:rPr>
            </w:pPr>
            <w:r>
              <w:rPr>
                <w:rFonts w:ascii="Arial Narrow" w:hAnsi="Arial Narrow"/>
                <w:sz w:val="22"/>
              </w:rPr>
              <w:t xml:space="preserve">Virusspezifische Spenderzellen wird schätzungsweise in ca. 100 Kliniken in Deutschland eingesetzt (Schätzungen aufgrund der Zahl der Kliniken mit </w:t>
            </w:r>
            <w:proofErr w:type="spellStart"/>
            <w:r>
              <w:rPr>
                <w:rFonts w:ascii="Arial Narrow" w:hAnsi="Arial Narrow"/>
                <w:sz w:val="22"/>
              </w:rPr>
              <w:t>allogener</w:t>
            </w:r>
            <w:proofErr w:type="spellEnd"/>
            <w:r>
              <w:rPr>
                <w:rFonts w:ascii="Arial Narrow" w:hAnsi="Arial Narrow"/>
                <w:sz w:val="22"/>
              </w:rPr>
              <w:t xml:space="preserve"> Stammzelltransplantation). In der Realität wird es bei der seltenen Indikation wahrscheinlich nur in 30 bis 40 Kliniken (Transplantationszentren eingesetzt)</w:t>
            </w:r>
          </w:p>
        </w:tc>
      </w:tr>
    </w:tbl>
    <w:p w14:paraId="3C02E614"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27BE15BB" w14:textId="77777777">
        <w:tc>
          <w:tcPr>
            <w:tcW w:w="9212" w:type="dxa"/>
          </w:tcPr>
          <w:p w14:paraId="564171F8" w14:textId="6ACEAB9D" w:rsidR="00983FC9" w:rsidRDefault="00387D1F">
            <w:pPr>
              <w:rPr>
                <w:rFonts w:ascii="Arial Narrow" w:hAnsi="Arial Narrow"/>
              </w:rPr>
            </w:pPr>
            <w:r>
              <w:rPr>
                <w:rFonts w:ascii="Arial Narrow" w:hAnsi="Arial Narrow"/>
                <w:b/>
                <w:sz w:val="22"/>
              </w:rPr>
              <w:t>3.5 Wie viele Patienten wurden in Ihrem Krankenhaus in 202</w:t>
            </w:r>
            <w:r w:rsidR="00A733E2">
              <w:rPr>
                <w:rFonts w:ascii="Arial Narrow" w:hAnsi="Arial Narrow"/>
                <w:b/>
                <w:sz w:val="22"/>
              </w:rPr>
              <w:t>1</w:t>
            </w:r>
            <w:r>
              <w:rPr>
                <w:rFonts w:ascii="Arial Narrow" w:hAnsi="Arial Narrow"/>
                <w:b/>
                <w:sz w:val="22"/>
              </w:rPr>
              <w:t xml:space="preserve"> oder in 202</w:t>
            </w:r>
            <w:r w:rsidR="00A733E2">
              <w:rPr>
                <w:rFonts w:ascii="Arial Narrow" w:hAnsi="Arial Narrow"/>
                <w:b/>
                <w:sz w:val="22"/>
              </w:rPr>
              <w:t>2</w:t>
            </w:r>
            <w:r>
              <w:rPr>
                <w:rFonts w:ascii="Arial Narrow" w:hAnsi="Arial Narrow"/>
                <w:b/>
                <w:sz w:val="22"/>
              </w:rPr>
              <w:t xml:space="preserve"> mit dieser Methode behandelt?</w:t>
            </w:r>
          </w:p>
        </w:tc>
      </w:tr>
      <w:tr w:rsidR="00983FC9" w14:paraId="3B7BC487" w14:textId="77777777">
        <w:tc>
          <w:tcPr>
            <w:tcW w:w="9212" w:type="dxa"/>
          </w:tcPr>
          <w:p w14:paraId="42546A38" w14:textId="159AA08C" w:rsidR="00983FC9" w:rsidRDefault="00387D1F">
            <w:pPr>
              <w:rPr>
                <w:rFonts w:ascii="Arial Narrow" w:hAnsi="Arial Narrow"/>
              </w:rPr>
            </w:pPr>
            <w:r>
              <w:rPr>
                <w:rFonts w:ascii="Arial Narrow" w:hAnsi="Arial Narrow"/>
              </w:rPr>
              <w:t>In 202</w:t>
            </w:r>
            <w:r w:rsidR="00A733E2">
              <w:rPr>
                <w:rFonts w:ascii="Arial Narrow" w:hAnsi="Arial Narrow"/>
              </w:rPr>
              <w:t>1</w:t>
            </w:r>
          </w:p>
        </w:tc>
      </w:tr>
      <w:tr w:rsidR="00983FC9" w14:paraId="30E62270" w14:textId="77777777">
        <w:tc>
          <w:tcPr>
            <w:tcW w:w="9212" w:type="dxa"/>
          </w:tcPr>
          <w:p w14:paraId="162F553F" w14:textId="2FFCADC7" w:rsidR="00983FC9" w:rsidRDefault="00762DE0">
            <w:pPr>
              <w:rPr>
                <w:rFonts w:ascii="Arial Narrow" w:hAnsi="Arial Narrow"/>
              </w:rPr>
            </w:pPr>
            <w:r>
              <w:rPr>
                <w:rFonts w:ascii="Arial Narrow" w:hAnsi="Arial Narrow"/>
                <w:sz w:val="22"/>
                <w:highlight w:val="yellow"/>
              </w:rPr>
              <w:t>[bitte ergänzen]</w:t>
            </w:r>
          </w:p>
        </w:tc>
      </w:tr>
      <w:tr w:rsidR="00983FC9" w14:paraId="007FE97A" w14:textId="77777777">
        <w:tc>
          <w:tcPr>
            <w:tcW w:w="9212" w:type="dxa"/>
          </w:tcPr>
          <w:p w14:paraId="07C3E048" w14:textId="680DCDBC" w:rsidR="00983FC9" w:rsidRDefault="00387D1F">
            <w:pPr>
              <w:rPr>
                <w:rFonts w:ascii="Arial Narrow" w:hAnsi="Arial Narrow"/>
              </w:rPr>
            </w:pPr>
            <w:r>
              <w:rPr>
                <w:rFonts w:ascii="Arial Narrow" w:hAnsi="Arial Narrow"/>
              </w:rPr>
              <w:t>In 202</w:t>
            </w:r>
            <w:r w:rsidR="00A733E2">
              <w:rPr>
                <w:rFonts w:ascii="Arial Narrow" w:hAnsi="Arial Narrow"/>
              </w:rPr>
              <w:t>2</w:t>
            </w:r>
          </w:p>
        </w:tc>
      </w:tr>
      <w:tr w:rsidR="00983FC9" w14:paraId="362D85CC" w14:textId="77777777">
        <w:tc>
          <w:tcPr>
            <w:tcW w:w="9212" w:type="dxa"/>
          </w:tcPr>
          <w:p w14:paraId="462C8D17" w14:textId="22EE8C3B" w:rsidR="00983FC9" w:rsidRDefault="00762DE0">
            <w:pPr>
              <w:rPr>
                <w:rFonts w:ascii="Arial Narrow" w:hAnsi="Arial Narrow"/>
              </w:rPr>
            </w:pPr>
            <w:r>
              <w:rPr>
                <w:rFonts w:ascii="Arial Narrow" w:hAnsi="Arial Narrow"/>
                <w:sz w:val="22"/>
                <w:highlight w:val="yellow"/>
              </w:rPr>
              <w:t>[bitte ergänzen]</w:t>
            </w:r>
          </w:p>
        </w:tc>
      </w:tr>
    </w:tbl>
    <w:p w14:paraId="0B72AB45"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17CDB079" w14:textId="77777777">
        <w:tc>
          <w:tcPr>
            <w:tcW w:w="9212" w:type="dxa"/>
          </w:tcPr>
          <w:p w14:paraId="49212678" w14:textId="749A8BF2" w:rsidR="00983FC9" w:rsidRDefault="00387D1F" w:rsidP="00A733E2">
            <w:pPr>
              <w:rPr>
                <w:rFonts w:ascii="Arial Narrow" w:hAnsi="Arial Narrow"/>
              </w:rPr>
            </w:pPr>
            <w:r>
              <w:rPr>
                <w:rFonts w:ascii="Arial Narrow" w:hAnsi="Arial Narrow"/>
                <w:b/>
                <w:sz w:val="22"/>
              </w:rPr>
              <w:t xml:space="preserve">3.6 </w:t>
            </w:r>
            <w:proofErr w:type="spellStart"/>
            <w:r>
              <w:rPr>
                <w:rFonts w:ascii="Arial Narrow" w:hAnsi="Arial Narrow"/>
                <w:b/>
                <w:sz w:val="22"/>
              </w:rPr>
              <w:t>Wieviele</w:t>
            </w:r>
            <w:proofErr w:type="spellEnd"/>
            <w:r>
              <w:rPr>
                <w:rFonts w:ascii="Arial Narrow" w:hAnsi="Arial Narrow"/>
                <w:b/>
                <w:sz w:val="22"/>
              </w:rPr>
              <w:t xml:space="preserve"> Patienten planen Sie im Jahr </w:t>
            </w:r>
            <w:r w:rsidR="00A733E2">
              <w:rPr>
                <w:rFonts w:ascii="Arial Narrow" w:hAnsi="Arial Narrow"/>
                <w:b/>
                <w:sz w:val="22"/>
              </w:rPr>
              <w:t xml:space="preserve">2023 </w:t>
            </w:r>
            <w:r>
              <w:rPr>
                <w:rFonts w:ascii="Arial Narrow" w:hAnsi="Arial Narrow"/>
                <w:b/>
                <w:sz w:val="22"/>
              </w:rPr>
              <w:t>mit dieser Methode zu behandeln?</w:t>
            </w:r>
          </w:p>
        </w:tc>
      </w:tr>
      <w:tr w:rsidR="00983FC9" w14:paraId="669FCB00" w14:textId="77777777">
        <w:tc>
          <w:tcPr>
            <w:tcW w:w="9212" w:type="dxa"/>
          </w:tcPr>
          <w:p w14:paraId="48F7D47E" w14:textId="49492DFD" w:rsidR="00983FC9" w:rsidRDefault="00387D1F">
            <w:pPr>
              <w:rPr>
                <w:rFonts w:ascii="Arial Narrow" w:hAnsi="Arial Narrow"/>
              </w:rPr>
            </w:pPr>
            <w:r>
              <w:rPr>
                <w:rFonts w:ascii="Arial Narrow" w:hAnsi="Arial Narrow"/>
                <w:sz w:val="22"/>
                <w:highlight w:val="yellow"/>
              </w:rPr>
              <w:t>[bitte ergänzen]</w:t>
            </w:r>
          </w:p>
        </w:tc>
      </w:tr>
    </w:tbl>
    <w:p w14:paraId="1B3BA80D" w14:textId="77777777" w:rsidR="00983FC9" w:rsidRDefault="00983FC9">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64B5407C" w14:textId="77777777">
        <w:trPr>
          <w:trHeight w:val="544"/>
        </w:trPr>
        <w:tc>
          <w:tcPr>
            <w:tcW w:w="9212" w:type="dxa"/>
          </w:tcPr>
          <w:p w14:paraId="5AAAC786" w14:textId="77777777" w:rsidR="00983FC9" w:rsidRDefault="00387D1F">
            <w:pPr>
              <w:rPr>
                <w:rFonts w:ascii="Arial Narrow" w:hAnsi="Arial Narrow"/>
              </w:rPr>
            </w:pPr>
            <w:r>
              <w:rPr>
                <w:rFonts w:ascii="Arial Narrow" w:hAnsi="Arial Narrow"/>
                <w:b/>
                <w:sz w:val="22"/>
              </w:rPr>
              <w:t>4.1 Entstehen durch die neue Methode Mehrkosten gegenüber dem bisher üblichen Verfahren? Wenn ja, wodurch? In welcher Höhe (möglichst aufgetrennt nach Personal- und Sachkosten)?</w:t>
            </w:r>
          </w:p>
        </w:tc>
      </w:tr>
      <w:tr w:rsidR="00983FC9" w14:paraId="76F78D26" w14:textId="77777777">
        <w:tc>
          <w:tcPr>
            <w:tcW w:w="9212" w:type="dxa"/>
          </w:tcPr>
          <w:p w14:paraId="1877C8F7" w14:textId="77777777" w:rsidR="00983FC9" w:rsidRDefault="00387D1F">
            <w:pPr>
              <w:rPr>
                <w:rFonts w:ascii="Arial Narrow" w:hAnsi="Arial Narrow"/>
              </w:rPr>
            </w:pPr>
            <w:r>
              <w:rPr>
                <w:rFonts w:ascii="Arial Narrow" w:hAnsi="Arial Narrow"/>
              </w:rPr>
              <w:t>Es fallen Kosten an für die Spendervoruntersuchung und Auswahl (</w:t>
            </w:r>
            <w:proofErr w:type="spellStart"/>
            <w:r>
              <w:rPr>
                <w:rFonts w:ascii="Arial Narrow" w:hAnsi="Arial Narrow"/>
              </w:rPr>
              <w:t>ca</w:t>
            </w:r>
            <w:proofErr w:type="spellEnd"/>
            <w:r>
              <w:rPr>
                <w:rFonts w:ascii="Arial Narrow" w:hAnsi="Arial Narrow"/>
              </w:rPr>
              <w:t xml:space="preserve"> 1500€), die Gewinnung der Spenderlymphozyten (</w:t>
            </w:r>
            <w:proofErr w:type="spellStart"/>
            <w:r>
              <w:rPr>
                <w:rFonts w:ascii="Arial Narrow" w:hAnsi="Arial Narrow"/>
              </w:rPr>
              <w:t>ca</w:t>
            </w:r>
            <w:proofErr w:type="spellEnd"/>
            <w:r>
              <w:rPr>
                <w:rFonts w:ascii="Arial Narrow" w:hAnsi="Arial Narrow"/>
              </w:rPr>
              <w:t xml:space="preserve"> 5000€), Transportkosten an das GMP-Labor (</w:t>
            </w:r>
            <w:proofErr w:type="spellStart"/>
            <w:r>
              <w:rPr>
                <w:rFonts w:ascii="Arial Narrow" w:hAnsi="Arial Narrow"/>
              </w:rPr>
              <w:t>ca</w:t>
            </w:r>
            <w:proofErr w:type="spellEnd"/>
            <w:r>
              <w:rPr>
                <w:rFonts w:ascii="Arial Narrow" w:hAnsi="Arial Narrow"/>
              </w:rPr>
              <w:t xml:space="preserve"> 800€), die Selektion der Zellen (je nach Verfahren mehr Personalkosten oder mehr Sachkosten, </w:t>
            </w:r>
            <w:proofErr w:type="spellStart"/>
            <w:r>
              <w:rPr>
                <w:rFonts w:ascii="Arial Narrow" w:hAnsi="Arial Narrow"/>
              </w:rPr>
              <w:t>ca</w:t>
            </w:r>
            <w:proofErr w:type="spellEnd"/>
            <w:r>
              <w:rPr>
                <w:rFonts w:ascii="Arial Narrow" w:hAnsi="Arial Narrow"/>
              </w:rPr>
              <w:t xml:space="preserve"> 1700 bis 1800€), allgemeine Verbrauchsmaterialien (</w:t>
            </w:r>
            <w:proofErr w:type="spellStart"/>
            <w:r>
              <w:rPr>
                <w:rFonts w:ascii="Arial Narrow" w:hAnsi="Arial Narrow"/>
              </w:rPr>
              <w:t>ca</w:t>
            </w:r>
            <w:proofErr w:type="spellEnd"/>
            <w:r>
              <w:rPr>
                <w:rFonts w:ascii="Arial Narrow" w:hAnsi="Arial Narrow"/>
              </w:rPr>
              <w:t xml:space="preserve"> 12 000€), Kosten der GMP-Facility (ca. 3000€) und den Transport zurück an die Klinik und </w:t>
            </w:r>
            <w:proofErr w:type="spellStart"/>
            <w:r>
              <w:rPr>
                <w:rFonts w:ascii="Arial Narrow" w:hAnsi="Arial Narrow"/>
              </w:rPr>
              <w:t>Kryokonservierung</w:t>
            </w:r>
            <w:proofErr w:type="spellEnd"/>
            <w:r>
              <w:rPr>
                <w:rFonts w:ascii="Arial Narrow" w:hAnsi="Arial Narrow"/>
              </w:rPr>
              <w:t xml:space="preserve"> (</w:t>
            </w:r>
            <w:proofErr w:type="spellStart"/>
            <w:r>
              <w:rPr>
                <w:rFonts w:ascii="Arial Narrow" w:hAnsi="Arial Narrow"/>
              </w:rPr>
              <w:t>ca</w:t>
            </w:r>
            <w:proofErr w:type="spellEnd"/>
            <w:r>
              <w:rPr>
                <w:rFonts w:ascii="Arial Narrow" w:hAnsi="Arial Narrow"/>
              </w:rPr>
              <w:t xml:space="preserve"> 1500€). Je nach Anzahl der eingesetzten Antigene (Peptidmixe) steigt der Aufwand für Verbrauchsmaterialien. Es ist derzeit möglich, spezifische T Zellen gegen bis zu 4 verschiedene Viren im gleichen Lauf herzustellen.</w:t>
            </w:r>
          </w:p>
          <w:p w14:paraId="46655F22" w14:textId="77777777" w:rsidR="00983FC9" w:rsidRDefault="00983FC9">
            <w:pPr>
              <w:rPr>
                <w:rFonts w:ascii="Arial Narrow" w:hAnsi="Arial Narrow"/>
              </w:rPr>
            </w:pPr>
          </w:p>
          <w:p w14:paraId="4459B402" w14:textId="48CB8C8F" w:rsidR="00762DE0" w:rsidRPr="00762DE0" w:rsidRDefault="00387D1F" w:rsidP="00A416F1">
            <w:pPr>
              <w:rPr>
                <w:rFonts w:ascii="Arial Narrow" w:hAnsi="Arial Narrow"/>
                <w:sz w:val="22"/>
                <w:szCs w:val="22"/>
              </w:rPr>
            </w:pPr>
            <w:r>
              <w:rPr>
                <w:rFonts w:ascii="Arial Narrow" w:hAnsi="Arial Narrow"/>
              </w:rPr>
              <w:t xml:space="preserve">Die Gesamtkosten können schwanken, je nachdem ob Transportkosten anfallen bzw. in Anhängigkeit ob die Gewinnung der Spenderlymphozyten extern oder intern erfolgt. Insgesamt ist aber mit Kosten </w:t>
            </w:r>
            <w:r w:rsidR="00762DE0">
              <w:rPr>
                <w:rFonts w:ascii="Arial Narrow" w:hAnsi="Arial Narrow"/>
              </w:rPr>
              <w:t>um</w:t>
            </w:r>
            <w:r>
              <w:rPr>
                <w:rFonts w:ascii="Arial Narrow" w:hAnsi="Arial Narrow"/>
              </w:rPr>
              <w:t xml:space="preserve"> 25</w:t>
            </w:r>
            <w:r w:rsidR="00A416F1">
              <w:rPr>
                <w:rFonts w:ascii="Arial Narrow" w:hAnsi="Arial Narrow"/>
              </w:rPr>
              <w:t>.</w:t>
            </w:r>
            <w:r>
              <w:rPr>
                <w:rFonts w:ascii="Arial Narrow" w:hAnsi="Arial Narrow"/>
              </w:rPr>
              <w:t xml:space="preserve">000 </w:t>
            </w:r>
            <w:r w:rsidR="00762DE0">
              <w:rPr>
                <w:rFonts w:ascii="Arial Narrow" w:hAnsi="Arial Narrow"/>
              </w:rPr>
              <w:t xml:space="preserve">bis 27.000€ </w:t>
            </w:r>
            <w:r>
              <w:rPr>
                <w:rFonts w:ascii="Arial Narrow" w:hAnsi="Arial Narrow"/>
              </w:rPr>
              <w:t>zu rechnen</w:t>
            </w:r>
            <w:r w:rsidR="00762DE0">
              <w:rPr>
                <w:rFonts w:ascii="Arial Narrow" w:hAnsi="Arial Narrow"/>
              </w:rPr>
              <w:t xml:space="preserve">, </w:t>
            </w:r>
            <w:r w:rsidR="00762DE0" w:rsidRPr="00A416F1">
              <w:rPr>
                <w:rFonts w:ascii="Arial Narrow" w:hAnsi="Arial Narrow"/>
              </w:rPr>
              <w:t>bei Spenderlymphozyten gegen 4 Antigene bis 46.000€.</w:t>
            </w:r>
          </w:p>
          <w:p w14:paraId="1B03AC59" w14:textId="77777777" w:rsidR="00983FC9" w:rsidRDefault="00983FC9" w:rsidP="00762DE0">
            <w:pPr>
              <w:rPr>
                <w:rFonts w:ascii="Arial Narrow" w:hAnsi="Arial Narrow"/>
              </w:rPr>
            </w:pPr>
          </w:p>
        </w:tc>
      </w:tr>
      <w:tr w:rsidR="005E6797" w14:paraId="135BF8B0" w14:textId="77777777">
        <w:tc>
          <w:tcPr>
            <w:tcW w:w="9212" w:type="dxa"/>
          </w:tcPr>
          <w:p w14:paraId="11EEDB33" w14:textId="77777777" w:rsidR="005E6797" w:rsidRDefault="005E6797">
            <w:pPr>
              <w:rPr>
                <w:rFonts w:ascii="Arial Narrow" w:hAnsi="Arial Narrow"/>
              </w:rPr>
            </w:pPr>
          </w:p>
        </w:tc>
      </w:tr>
    </w:tbl>
    <w:p w14:paraId="4A604484" w14:textId="77777777" w:rsidR="00983FC9" w:rsidRDefault="00983FC9">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7F9E7678" w14:textId="77777777">
        <w:tc>
          <w:tcPr>
            <w:tcW w:w="9212" w:type="dxa"/>
          </w:tcPr>
          <w:p w14:paraId="6A3147DA" w14:textId="77777777" w:rsidR="00983FC9" w:rsidRDefault="00387D1F">
            <w:pPr>
              <w:rPr>
                <w:rFonts w:ascii="Arial Narrow" w:hAnsi="Arial Narrow"/>
              </w:rPr>
            </w:pPr>
            <w:r>
              <w:rPr>
                <w:rFonts w:ascii="Arial Narrow" w:hAnsi="Arial Narrow"/>
                <w:b/>
                <w:sz w:val="22"/>
              </w:rPr>
              <w:t>4.2 Welche DRG(s) ist/sind am häufigsten von dieser Methode betroffen?</w:t>
            </w:r>
          </w:p>
        </w:tc>
      </w:tr>
      <w:tr w:rsidR="00983FC9" w14:paraId="49093AED" w14:textId="77777777">
        <w:tc>
          <w:tcPr>
            <w:tcW w:w="9212" w:type="dxa"/>
          </w:tcPr>
          <w:p w14:paraId="7D33D898" w14:textId="77777777" w:rsidR="00983FC9" w:rsidRDefault="00387D1F">
            <w:pPr>
              <w:rPr>
                <w:rFonts w:ascii="Arial Narrow" w:hAnsi="Arial Narrow"/>
                <w:color w:val="00B050"/>
                <w:sz w:val="22"/>
              </w:rPr>
            </w:pPr>
            <w:r>
              <w:rPr>
                <w:rFonts w:ascii="Arial Narrow" w:hAnsi="Arial Narrow"/>
                <w:sz w:val="22"/>
              </w:rPr>
              <w:t>T63A</w:t>
            </w:r>
          </w:p>
        </w:tc>
      </w:tr>
    </w:tbl>
    <w:p w14:paraId="02266BBF" w14:textId="77777777" w:rsidR="00983FC9" w:rsidRDefault="00983FC9">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83FC9" w14:paraId="7B4F766F" w14:textId="77777777">
        <w:tc>
          <w:tcPr>
            <w:tcW w:w="9212" w:type="dxa"/>
          </w:tcPr>
          <w:p w14:paraId="1700231B" w14:textId="77777777" w:rsidR="00983FC9" w:rsidRDefault="00387D1F">
            <w:pPr>
              <w:rPr>
                <w:rFonts w:ascii="Arial Narrow" w:hAnsi="Arial Narrow"/>
              </w:rPr>
            </w:pPr>
            <w:r>
              <w:rPr>
                <w:rFonts w:ascii="Arial Narrow" w:hAnsi="Arial Narrow"/>
              </w:rPr>
              <w:t>4</w:t>
            </w:r>
            <w:r>
              <w:rPr>
                <w:rFonts w:ascii="Arial Narrow" w:hAnsi="Arial Narrow"/>
                <w:b/>
                <w:sz w:val="22"/>
              </w:rPr>
              <w:t>.3 Warum ist diese Methode aus Ihrer Sicht derzeit im G-DRG-System nicht sachgerecht abgebildet?</w:t>
            </w:r>
          </w:p>
        </w:tc>
      </w:tr>
      <w:tr w:rsidR="00983FC9" w14:paraId="598511CD" w14:textId="77777777">
        <w:tc>
          <w:tcPr>
            <w:tcW w:w="9212" w:type="dxa"/>
          </w:tcPr>
          <w:p w14:paraId="327F76F0" w14:textId="78487DC6" w:rsidR="00983FC9" w:rsidRDefault="00387D1F">
            <w:pPr>
              <w:rPr>
                <w:rFonts w:ascii="Arial Narrow" w:hAnsi="Arial Narrow"/>
              </w:rPr>
            </w:pPr>
            <w:r>
              <w:rPr>
                <w:rFonts w:ascii="Arial Narrow" w:hAnsi="Arial Narrow"/>
              </w:rPr>
              <w:t xml:space="preserve">Die oben gezeigten Mehrkosten übersteigen deutlich die Kosten in der DRG </w:t>
            </w:r>
          </w:p>
          <w:p w14:paraId="025B0FBD" w14:textId="67F7BD45" w:rsidR="00983FC9" w:rsidRDefault="00387D1F">
            <w:pPr>
              <w:rPr>
                <w:rFonts w:ascii="Arial Narrow" w:hAnsi="Arial Narrow"/>
              </w:rPr>
            </w:pPr>
            <w:r>
              <w:rPr>
                <w:rFonts w:ascii="Arial Narrow" w:hAnsi="Arial Narrow"/>
              </w:rPr>
              <w:t>Für das Datenjahr 202</w:t>
            </w:r>
            <w:r w:rsidR="00A733E2">
              <w:rPr>
                <w:rFonts w:ascii="Arial Narrow" w:hAnsi="Arial Narrow"/>
              </w:rPr>
              <w:t>1</w:t>
            </w:r>
            <w:r>
              <w:rPr>
                <w:rFonts w:ascii="Arial Narrow" w:hAnsi="Arial Narrow"/>
              </w:rPr>
              <w:t xml:space="preserve"> sollten aus den Kalkulationshäusern Kostendaten für den Einsatz vorliegen. </w:t>
            </w:r>
          </w:p>
          <w:p w14:paraId="7A77862C" w14:textId="2624F1BC" w:rsidR="00983FC9" w:rsidRDefault="00387D1F">
            <w:pPr>
              <w:rPr>
                <w:rFonts w:ascii="Arial Narrow" w:hAnsi="Arial Narrow"/>
              </w:rPr>
            </w:pPr>
            <w:r>
              <w:rPr>
                <w:rFonts w:ascii="Arial Narrow" w:hAnsi="Arial Narrow"/>
              </w:rPr>
              <w:t>Wir vermuten, dass die Stichprobe jedoch zu klein ist, als dass genügend Kosten- und Leistungsinformationen aus den Krankenhäusern vorliegen, um damit eine sachgerechte Abbildung im G-DRG System 202</w:t>
            </w:r>
            <w:r w:rsidR="00A733E2">
              <w:rPr>
                <w:rFonts w:ascii="Arial Narrow" w:hAnsi="Arial Narrow"/>
              </w:rPr>
              <w:t>3</w:t>
            </w:r>
            <w:r>
              <w:rPr>
                <w:rFonts w:ascii="Arial Narrow" w:hAnsi="Arial Narrow"/>
              </w:rPr>
              <w:t xml:space="preserve"> zu ermöglichen.</w:t>
            </w:r>
          </w:p>
          <w:p w14:paraId="56632EE3" w14:textId="30940A82" w:rsidR="00983FC9" w:rsidRDefault="00387D1F" w:rsidP="00A416F1">
            <w:pPr>
              <w:rPr>
                <w:rFonts w:ascii="Arial Narrow" w:hAnsi="Arial Narrow"/>
              </w:rPr>
            </w:pPr>
            <w:r>
              <w:rPr>
                <w:rFonts w:ascii="Arial Narrow" w:hAnsi="Arial Narrow"/>
              </w:rPr>
              <w:lastRenderedPageBreak/>
              <w:t>Die zusätzlichen Kosten von mindestens 2</w:t>
            </w:r>
            <w:r w:rsidR="00A416F1">
              <w:rPr>
                <w:rFonts w:ascii="Arial Narrow" w:hAnsi="Arial Narrow"/>
              </w:rPr>
              <w:t>5</w:t>
            </w:r>
            <w:r w:rsidR="00762DE0">
              <w:rPr>
                <w:rFonts w:ascii="Arial Narrow" w:hAnsi="Arial Narrow"/>
              </w:rPr>
              <w:t>.</w:t>
            </w:r>
            <w:r>
              <w:rPr>
                <w:rFonts w:ascii="Arial Narrow" w:hAnsi="Arial Narrow"/>
              </w:rPr>
              <w:t xml:space="preserve">000€ pro Applikation können aber mit der Fallpauschale allein nicht ausreichend abgebildet werden und die Gabe von virusspezifischen Zellen ist bisher im ZE Katalog nicht enthalten. </w:t>
            </w:r>
          </w:p>
          <w:p w14:paraId="360A9069" w14:textId="77777777" w:rsidR="00983FC9" w:rsidRDefault="00387D1F">
            <w:pPr>
              <w:rPr>
                <w:rFonts w:ascii="Arial Narrow" w:hAnsi="Arial Narrow"/>
              </w:rPr>
            </w:pPr>
            <w:r>
              <w:rPr>
                <w:rFonts w:ascii="Arial Narrow" w:hAnsi="Arial Narrow"/>
              </w:rPr>
              <w:t>Aufgrund der hohen Kosten kommt es zu einer Schieflage in der betroffenen DRG.</w:t>
            </w:r>
          </w:p>
          <w:p w14:paraId="4E52CCBB" w14:textId="77777777" w:rsidR="00983FC9" w:rsidRDefault="00983FC9">
            <w:pPr>
              <w:rPr>
                <w:rFonts w:ascii="Arial Narrow" w:hAnsi="Arial Narrow"/>
                <w:b/>
              </w:rPr>
            </w:pPr>
          </w:p>
        </w:tc>
      </w:tr>
    </w:tbl>
    <w:p w14:paraId="1FF22C42" w14:textId="6319351C" w:rsidR="00983FC9" w:rsidRDefault="00983FC9">
      <w:pPr>
        <w:rPr>
          <w:rFonts w:ascii="Arial Narrow" w:hAnsi="Arial Narrow"/>
        </w:rPr>
      </w:pPr>
    </w:p>
    <w:sectPr w:rsidR="00983FC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A402B" w14:textId="77777777" w:rsidR="00983FC9" w:rsidRDefault="00387D1F">
      <w:r>
        <w:separator/>
      </w:r>
    </w:p>
  </w:endnote>
  <w:endnote w:type="continuationSeparator" w:id="0">
    <w:p w14:paraId="28A4D42A" w14:textId="77777777" w:rsidR="00983FC9" w:rsidRDefault="0038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heSansOffice">
    <w:altName w:val="Arial"/>
    <w:panose1 w:val="00000000000000000000"/>
    <w:charset w:val="00"/>
    <w:family w:val="swiss"/>
    <w:notTrueType/>
    <w:pitch w:val="variable"/>
    <w:sig w:usb0="00000001"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84D25" w14:textId="77777777" w:rsidR="00F46EA2" w:rsidRDefault="00F46E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B9E59" w14:textId="77777777" w:rsidR="00983FC9" w:rsidRPr="00F46EA2" w:rsidRDefault="00387D1F">
    <w:pPr>
      <w:pStyle w:val="Fuzeile"/>
      <w:rPr>
        <w:rFonts w:ascii="Arial Narrow" w:hAnsi="Arial Narrow"/>
      </w:rPr>
    </w:pPr>
    <w:r w:rsidRPr="00F46EA2">
      <w:rPr>
        <w:rFonts w:ascii="Arial Narrow" w:hAnsi="Arial Narrow"/>
      </w:rPr>
      <w:t>Virusspezifische Spenderzellen</w:t>
    </w:r>
  </w:p>
  <w:p w14:paraId="48B69C77" w14:textId="4C980219" w:rsidR="00983FC9" w:rsidRDefault="00387D1F">
    <w:pPr>
      <w:pStyle w:val="Fuzeile"/>
      <w:rPr>
        <w:rFonts w:ascii="Arial Narrow" w:hAnsi="Arial Narrow"/>
      </w:rPr>
    </w:pPr>
    <w:r>
      <w:rPr>
        <w:rStyle w:val="Hyperlink"/>
        <w:rFonts w:ascii="Arial Narrow" w:hAnsi="Arial Narrow"/>
      </w:rPr>
      <w:t>AG DRG der Gesellschaft für Pädiatrische Onkologie und Hämatologie</w:t>
    </w:r>
  </w:p>
  <w:p w14:paraId="209D5CCC" w14:textId="408FA56F" w:rsidR="00983FC9" w:rsidRDefault="00387D1F">
    <w:pPr>
      <w:pStyle w:val="Fuzeile"/>
      <w:rPr>
        <w:rFonts w:ascii="Arial Narrow" w:hAnsi="Arial Narrow"/>
      </w:rPr>
    </w:pPr>
    <w:r>
      <w:rPr>
        <w:rFonts w:ascii="Arial Narrow" w:hAnsi="Arial Narrow"/>
      </w:rPr>
      <w:t>www.gpoh.de</w:t>
    </w:r>
    <w:bookmarkStart w:id="0" w:name="_GoBack"/>
    <w:bookmarkEnd w:id="0"/>
  </w:p>
  <w:p w14:paraId="4FFDB03C" w14:textId="51B19BC5" w:rsidR="00983FC9" w:rsidRDefault="00387D1F">
    <w:pPr>
      <w:pStyle w:val="Fuzeile"/>
      <w:rPr>
        <w:rFonts w:ascii="Arial Narrow" w:hAnsi="Arial Narrow"/>
      </w:rPr>
    </w:pPr>
    <w:r>
      <w:rPr>
        <w:rFonts w:ascii="Arial Narrow" w:hAnsi="Arial Narrow"/>
        <w:snapToGrid w:val="0"/>
      </w:rPr>
      <w:t xml:space="preserve">Seite </w:t>
    </w:r>
    <w:r>
      <w:rPr>
        <w:rFonts w:ascii="Arial Narrow" w:hAnsi="Arial Narrow"/>
        <w:snapToGrid w:val="0"/>
      </w:rPr>
      <w:fldChar w:fldCharType="begin"/>
    </w:r>
    <w:r>
      <w:rPr>
        <w:rFonts w:ascii="Arial Narrow" w:hAnsi="Arial Narrow"/>
        <w:snapToGrid w:val="0"/>
      </w:rPr>
      <w:instrText xml:space="preserve"> PAGE </w:instrText>
    </w:r>
    <w:r>
      <w:rPr>
        <w:rFonts w:ascii="Arial Narrow" w:hAnsi="Arial Narrow"/>
        <w:snapToGrid w:val="0"/>
      </w:rPr>
      <w:fldChar w:fldCharType="separate"/>
    </w:r>
    <w:r w:rsidR="00F46EA2">
      <w:rPr>
        <w:rFonts w:ascii="Arial Narrow" w:hAnsi="Arial Narrow"/>
        <w:noProof/>
        <w:snapToGrid w:val="0"/>
      </w:rPr>
      <w:t>1</w:t>
    </w:r>
    <w:r>
      <w:rPr>
        <w:rFonts w:ascii="Arial Narrow" w:hAnsi="Arial Narrow"/>
        <w:snapToGrid w:val="0"/>
      </w:rPr>
      <w:fldChar w:fldCharType="end"/>
    </w:r>
    <w:r>
      <w:rPr>
        <w:rFonts w:ascii="Arial Narrow" w:hAnsi="Arial Narrow"/>
        <w:snapToGrid w:val="0"/>
      </w:rPr>
      <w:t xml:space="preserve"> von </w:t>
    </w:r>
    <w:r>
      <w:rPr>
        <w:rFonts w:ascii="Arial Narrow" w:hAnsi="Arial Narrow"/>
        <w:snapToGrid w:val="0"/>
      </w:rPr>
      <w:fldChar w:fldCharType="begin"/>
    </w:r>
    <w:r>
      <w:rPr>
        <w:rFonts w:ascii="Arial Narrow" w:hAnsi="Arial Narrow"/>
        <w:snapToGrid w:val="0"/>
      </w:rPr>
      <w:instrText xml:space="preserve"> NUMPAGES </w:instrText>
    </w:r>
    <w:r>
      <w:rPr>
        <w:rFonts w:ascii="Arial Narrow" w:hAnsi="Arial Narrow"/>
        <w:snapToGrid w:val="0"/>
      </w:rPr>
      <w:fldChar w:fldCharType="separate"/>
    </w:r>
    <w:r w:rsidR="00F46EA2">
      <w:rPr>
        <w:rFonts w:ascii="Arial Narrow" w:hAnsi="Arial Narrow"/>
        <w:noProof/>
        <w:snapToGrid w:val="0"/>
      </w:rPr>
      <w:t>5</w:t>
    </w:r>
    <w:r>
      <w:rPr>
        <w:rFonts w:ascii="Arial Narrow" w:hAnsi="Arial Narrow"/>
        <w:snapToGrid w:val="0"/>
      </w:rPr>
      <w:fldChar w:fldCharType="end"/>
    </w:r>
  </w:p>
  <w:p w14:paraId="525EDB7E" w14:textId="19D214A6" w:rsidR="00983FC9" w:rsidRDefault="00F46EA2" w:rsidP="00A733E2">
    <w:pPr>
      <w:pStyle w:val="Fuzeile"/>
      <w:rPr>
        <w:rFonts w:ascii="Arial Narrow" w:hAnsi="Arial Narrow"/>
        <w:color w:val="000000" w:themeColor="text1"/>
      </w:rPr>
    </w:pPr>
    <w:r>
      <w:rPr>
        <w:rFonts w:ascii="Arial Narrow" w:hAnsi="Arial Narrow"/>
      </w:rPr>
      <w:t xml:space="preserve">Finale </w:t>
    </w:r>
    <w:r w:rsidR="00387D1F">
      <w:rPr>
        <w:rFonts w:ascii="Arial Narrow" w:hAnsi="Arial Narrow"/>
      </w:rPr>
      <w:t xml:space="preserve">Version </w:t>
    </w:r>
    <w:r w:rsidR="00A733E2">
      <w:rPr>
        <w:rFonts w:ascii="Arial Narrow" w:hAnsi="Arial Narrow"/>
      </w:rPr>
      <w:t>14.10.22</w:t>
    </w:r>
  </w:p>
  <w:p w14:paraId="1C17479E" w14:textId="77777777" w:rsidR="00983FC9" w:rsidRDefault="00983FC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E174" w14:textId="77777777" w:rsidR="00F46EA2" w:rsidRDefault="00F46E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A1016" w14:textId="77777777" w:rsidR="00983FC9" w:rsidRDefault="00387D1F">
      <w:r>
        <w:separator/>
      </w:r>
    </w:p>
  </w:footnote>
  <w:footnote w:type="continuationSeparator" w:id="0">
    <w:p w14:paraId="0A89343A" w14:textId="77777777" w:rsidR="00983FC9" w:rsidRDefault="00387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195A3" w14:textId="77777777" w:rsidR="00F46EA2" w:rsidRDefault="00F46E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D2EE" w14:textId="15337544" w:rsidR="00983FC9" w:rsidRDefault="00387D1F" w:rsidP="00A733E2">
    <w:pPr>
      <w:pStyle w:val="Titel"/>
      <w:rPr>
        <w:sz w:val="48"/>
      </w:rPr>
    </w:pPr>
    <w:r>
      <w:rPr>
        <w:sz w:val="48"/>
      </w:rPr>
      <w:t xml:space="preserve">NUB Antrag </w:t>
    </w:r>
    <w:r w:rsidR="00A733E2">
      <w:rPr>
        <w:sz w:val="48"/>
      </w:rPr>
      <w:t>2022</w:t>
    </w:r>
    <w:r>
      <w:rPr>
        <w:sz w:val="48"/>
      </w:rPr>
      <w:t>/</w:t>
    </w:r>
    <w:r w:rsidR="00A733E2">
      <w:rPr>
        <w:sz w:val="48"/>
      </w:rPr>
      <w:t xml:space="preserve">2023 </w:t>
    </w:r>
  </w:p>
  <w:p w14:paraId="71A5A037" w14:textId="77777777" w:rsidR="00983FC9" w:rsidRDefault="00387D1F">
    <w:pPr>
      <w:pStyle w:val="Titel"/>
      <w:rPr>
        <w:sz w:val="48"/>
      </w:rPr>
    </w:pPr>
    <w:proofErr w:type="spellStart"/>
    <w:r>
      <w:rPr>
        <w:sz w:val="48"/>
      </w:rPr>
      <w:t>virusspezfische</w:t>
    </w:r>
    <w:proofErr w:type="spellEnd"/>
    <w:r>
      <w:rPr>
        <w:sz w:val="48"/>
      </w:rPr>
      <w:t xml:space="preserve"> Spenderzellen</w:t>
    </w:r>
  </w:p>
  <w:p w14:paraId="7A00612D" w14:textId="77777777" w:rsidR="00983FC9" w:rsidRDefault="00983FC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80A40" w14:textId="77777777" w:rsidR="00F46EA2" w:rsidRDefault="00F46E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7" w15:restartNumberingAfterBreak="0">
    <w:nsid w:val="54B904C1"/>
    <w:multiLevelType w:val="hybridMultilevel"/>
    <w:tmpl w:val="C5BE939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01969"/>
    <w:multiLevelType w:val="hybridMultilevel"/>
    <w:tmpl w:val="72220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8"/>
  </w:num>
  <w:num w:numId="6">
    <w:abstractNumId w:val="2"/>
  </w:num>
  <w:num w:numId="7">
    <w:abstractNumId w:val="6"/>
  </w:num>
  <w:num w:numId="8">
    <w:abstractNumId w:val="4"/>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C9"/>
    <w:rsid w:val="00387D1F"/>
    <w:rsid w:val="00585593"/>
    <w:rsid w:val="005E6797"/>
    <w:rsid w:val="00762DE0"/>
    <w:rsid w:val="00963147"/>
    <w:rsid w:val="00983FC9"/>
    <w:rsid w:val="00A416F1"/>
    <w:rsid w:val="00A52B64"/>
    <w:rsid w:val="00A733E2"/>
    <w:rsid w:val="00CF16FA"/>
    <w:rsid w:val="00E428FD"/>
    <w:rsid w:val="00E42C90"/>
    <w:rsid w:val="00F46EA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D72E0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link w:val="berschrift2Zchn"/>
    <w:uiPriority w:val="99"/>
    <w:qFormat/>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paragraph" w:styleId="Textkrper">
    <w:name w:val="Body Text"/>
    <w:basedOn w:val="Standard"/>
    <w:link w:val="TextkrperZchn"/>
    <w:uiPriority w:val="99"/>
    <w:pPr>
      <w:spacing w:line="480" w:lineRule="auto"/>
      <w:jc w:val="both"/>
    </w:pPr>
    <w:rPr>
      <w:szCs w:val="20"/>
    </w:rPr>
  </w:style>
  <w:style w:type="character" w:customStyle="1" w:styleId="TextkrperZchn">
    <w:name w:val="Textkörper Zchn"/>
    <w:basedOn w:val="Absatz-Standardschriftart"/>
    <w:link w:val="Textkrper"/>
    <w:uiPriority w:val="99"/>
    <w:semiHidden/>
    <w:locked/>
    <w:rPr>
      <w:rFonts w:cs="Times New Roman"/>
      <w:sz w:val="24"/>
      <w:szCs w:val="24"/>
    </w:rPr>
  </w:style>
  <w:style w:type="paragraph" w:styleId="StandardWeb">
    <w:name w:val="Normal (Web)"/>
    <w:basedOn w:val="Standard"/>
    <w:uiPriority w:val="99"/>
    <w:pPr>
      <w:spacing w:before="100" w:beforeAutospacing="1" w:after="100" w:afterAutospacing="1"/>
    </w:pPr>
    <w:rPr>
      <w:color w:val="000000"/>
    </w:rPr>
  </w:style>
  <w:style w:type="character" w:styleId="Hyperlink">
    <w:name w:val="Hyperlink"/>
    <w:basedOn w:val="Absatz-Standardschriftart"/>
    <w:uiPriority w:val="99"/>
    <w:rPr>
      <w:rFonts w:cs="Times New Roman"/>
      <w:color w:val="0000FF"/>
      <w:u w:val="single"/>
    </w:rPr>
  </w:style>
  <w:style w:type="paragraph" w:styleId="Textkrper2">
    <w:name w:val="Body Text 2"/>
    <w:basedOn w:val="Standard"/>
    <w:link w:val="Textkrper2Zchn"/>
    <w:uiPriority w:val="99"/>
    <w:rPr>
      <w:rFonts w:ascii="Arial" w:hAnsi="Arial" w:cs="Arial"/>
      <w:b/>
      <w:bCs/>
      <w:sz w:val="22"/>
    </w:rPr>
  </w:style>
  <w:style w:type="character" w:customStyle="1" w:styleId="Textkrper2Zchn">
    <w:name w:val="Textkörper 2 Zchn"/>
    <w:basedOn w:val="Absatz-Standardschriftart"/>
    <w:link w:val="Textkrper2"/>
    <w:uiPriority w:val="99"/>
    <w:semiHidden/>
    <w:locked/>
    <w:rPr>
      <w:rFonts w:cs="Times New Roman"/>
      <w:sz w:val="24"/>
      <w:szCs w:val="24"/>
    </w:rPr>
  </w:style>
  <w:style w:type="paragraph" w:customStyle="1" w:styleId="affiliation">
    <w:name w:val="affiliation"/>
    <w:basedOn w:val="Standard"/>
    <w:uiPriority w:val="99"/>
    <w:rPr>
      <w:color w:val="000000"/>
    </w:rPr>
  </w:style>
  <w:style w:type="character" w:customStyle="1" w:styleId="ti2">
    <w:name w:val="ti2"/>
    <w:basedOn w:val="Absatz-Standardschriftart"/>
    <w:uiPriority w:val="99"/>
    <w:rPr>
      <w:rFonts w:cs="Times New Roman"/>
    </w:rPr>
  </w:style>
  <w:style w:type="character" w:customStyle="1" w:styleId="featuredlinkouts">
    <w:name w:val="featured_linkouts"/>
    <w:basedOn w:val="Absatz-Standardschriftart"/>
    <w:uiPriority w:val="99"/>
    <w:rPr>
      <w:rFonts w:cs="Times New Roman"/>
    </w:rPr>
  </w:style>
  <w:style w:type="character" w:customStyle="1" w:styleId="linkbar">
    <w:name w:val="linkbar"/>
    <w:basedOn w:val="Absatz-Standardschriftart"/>
    <w:uiPriority w:val="99"/>
    <w:rPr>
      <w:rFonts w:cs="Times New Roman"/>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rPr>
  </w:style>
  <w:style w:type="paragraph" w:styleId="Titel">
    <w:name w:val="Title"/>
    <w:basedOn w:val="Standard"/>
    <w:next w:val="Standard"/>
    <w:link w:val="TitelZchn"/>
    <w:uiPriority w:val="99"/>
    <w:qFormat/>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rPr>
  </w:style>
  <w:style w:type="character" w:styleId="Fett">
    <w:name w:val="Strong"/>
    <w:basedOn w:val="Absatz-Standardschriftart"/>
    <w:qFormat/>
    <w:locked/>
    <w:rPr>
      <w:b/>
      <w:bCs/>
    </w:rPr>
  </w:style>
  <w:style w:type="paragraph" w:styleId="Listenabsatz">
    <w:name w:val="List Paragraph"/>
    <w:basedOn w:val="Standard"/>
    <w:uiPriority w:val="34"/>
    <w:qFormat/>
    <w:pPr>
      <w:ind w:left="720"/>
      <w:contextualSpacing/>
    </w:pPr>
    <w:rPr>
      <w:rFonts w:ascii="TheSansOffice" w:hAnsi="TheSansOffic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locke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1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5AE9A3BC0FDD6468809D600103F45DC" ma:contentTypeVersion="12" ma:contentTypeDescription="Ein neues Dokument erstellen." ma:contentTypeScope="" ma:versionID="5062af50210b1bb83c04c43ff6b053ef">
  <xsd:schema xmlns:xsd="http://www.w3.org/2001/XMLSchema" xmlns:xs="http://www.w3.org/2001/XMLSchema" xmlns:p="http://schemas.microsoft.com/office/2006/metadata/properties" xmlns:ns2="58550545-d003-4198-b867-ab879e6c9fb4" xmlns:ns3="68ba53c9-060a-46d7-984d-6df78a3a4203" targetNamespace="http://schemas.microsoft.com/office/2006/metadata/properties" ma:root="true" ma:fieldsID="a2f562533d764e17b9221001680d33d6" ns2:_="" ns3:_="">
    <xsd:import namespace="58550545-d003-4198-b867-ab879e6c9fb4"/>
    <xsd:import namespace="68ba53c9-060a-46d7-984d-6df78a3a4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50545-d003-4198-b867-ab879e6c9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a53c9-060a-46d7-984d-6df78a3a420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7DADD-7C88-49BF-B0CE-74FFA027FF1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8550545-d003-4198-b867-ab879e6c9fb4"/>
    <ds:schemaRef ds:uri="68ba53c9-060a-46d7-984d-6df78a3a4203"/>
    <ds:schemaRef ds:uri="http://www.w3.org/XML/1998/namespace"/>
    <ds:schemaRef ds:uri="http://purl.org/dc/dcmitype/"/>
  </ds:schemaRefs>
</ds:datastoreItem>
</file>

<file path=customXml/itemProps2.xml><?xml version="1.0" encoding="utf-8"?>
<ds:datastoreItem xmlns:ds="http://schemas.openxmlformats.org/officeDocument/2006/customXml" ds:itemID="{985DC3D4-644C-4CBA-9220-12D325B524AA}">
  <ds:schemaRefs>
    <ds:schemaRef ds:uri="http://schemas.microsoft.com/sharepoint/v3/contenttype/forms"/>
  </ds:schemaRefs>
</ds:datastoreItem>
</file>

<file path=customXml/itemProps3.xml><?xml version="1.0" encoding="utf-8"?>
<ds:datastoreItem xmlns:ds="http://schemas.openxmlformats.org/officeDocument/2006/customXml" ds:itemID="{F0E53424-FAC1-4F97-81C1-9D1E7BE41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50545-d003-4198-b867-ab879e6c9fb4"/>
    <ds:schemaRef ds:uri="68ba53c9-060a-46d7-984d-6df78a3a4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1404</Words>
  <Characters>10036</Characters>
  <Application>Microsoft Office Word</Application>
  <DocSecurity>0</DocSecurity>
  <Lines>83</Lines>
  <Paragraphs>22</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Kontny, Udo</cp:lastModifiedBy>
  <cp:revision>3</cp:revision>
  <cp:lastPrinted>2019-10-08T19:22:00Z</cp:lastPrinted>
  <dcterms:created xsi:type="dcterms:W3CDTF">2022-10-14T14:33:00Z</dcterms:created>
  <dcterms:modified xsi:type="dcterms:W3CDTF">2022-10-15T15:01:00Z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HH-ID">
    <vt:lpwstr>-</vt:lpwstr>
  </property>
  <property fmtid="{D5CDD505-2E9C-101B-9397-08002B2CF9AE}" pid="3" name="Nummer">
    <vt:lpwstr>-</vt:lpwstr>
  </property>
  <property fmtid="{D5CDD505-2E9C-101B-9397-08002B2CF9AE}" pid="4" name="MHH-Datum">
    <vt:lpwstr>-</vt:lpwstr>
  </property>
  <property fmtid="{D5CDD505-2E9C-101B-9397-08002B2CF9AE}" pid="5" name="MHH-Versionsnummer">
    <vt:lpwstr>-</vt:lpwstr>
  </property>
  <property fmtid="{D5CDD505-2E9C-101B-9397-08002B2CF9AE}" pid="6" name="Grp.">
    <vt:lpwstr>-</vt:lpwstr>
  </property>
  <property fmtid="{D5CDD505-2E9C-101B-9397-08002B2CF9AE}" pid="7" name="Abt.">
    <vt:lpwstr>-</vt:lpwstr>
  </property>
  <property fmtid="{D5CDD505-2E9C-101B-9397-08002B2CF9AE}" pid="8" name="Abteilungskürzel">
    <vt:lpwstr>-</vt:lpwstr>
  </property>
  <property fmtid="{D5CDD505-2E9C-101B-9397-08002B2CF9AE}" pid="9" name="Dokumentenuntergruppe">
    <vt:lpwstr>-</vt:lpwstr>
  </property>
  <property fmtid="{D5CDD505-2E9C-101B-9397-08002B2CF9AE}" pid="10" name="DokumentArt">
    <vt:lpwstr>-</vt:lpwstr>
  </property>
  <property fmtid="{D5CDD505-2E9C-101B-9397-08002B2CF9AE}" pid="11" name="ContentTypeId">
    <vt:lpwstr>0x01010045AE9A3BC0FDD6468809D600103F45DC</vt:lpwstr>
  </property>
</Properties>
</file>