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2BE04B5" w14:textId="77777777" w:rsidTr="005C48F3">
        <w:tc>
          <w:tcPr>
            <w:tcW w:w="9212" w:type="dxa"/>
          </w:tcPr>
          <w:p w14:paraId="76F010B6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Haben Sie externe Hilfestellungen 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="001D1538">
              <w:rPr>
                <w:rFonts w:ascii="Arial Narrow" w:hAnsi="Arial Narrow"/>
                <w:b/>
                <w:sz w:val="22"/>
              </w:rPr>
              <w:t xml:space="preserve"> </w:t>
            </w:r>
            <w:r w:rsidRPr="005638EB">
              <w:rPr>
                <w:rFonts w:ascii="Arial Narrow" w:hAnsi="Arial Narrow"/>
                <w:b/>
                <w:sz w:val="22"/>
              </w:rPr>
              <w:t>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="00832697">
              <w:rPr>
                <w:rFonts w:ascii="Arial Narrow" w:hAnsi="Arial Narrow"/>
                <w:b/>
                <w:sz w:val="22"/>
              </w:rPr>
              <w:t>.</w:t>
            </w:r>
          </w:p>
        </w:tc>
      </w:tr>
      <w:tr w:rsidR="008E6675" w:rsidRPr="005638EB" w14:paraId="4A196907" w14:textId="77777777" w:rsidTr="005C48F3">
        <w:tc>
          <w:tcPr>
            <w:tcW w:w="9212" w:type="dxa"/>
          </w:tcPr>
          <w:p w14:paraId="7EC797D9" w14:textId="77777777" w:rsidR="008E6675" w:rsidRPr="005638EB" w:rsidRDefault="00405669" w:rsidP="00E3362C">
            <w:pPr>
              <w:jc w:val="both"/>
              <w:rPr>
                <w:rFonts w:ascii="Arial Narrow" w:hAnsi="Arial Narrow"/>
              </w:rPr>
            </w:pPr>
            <w:r>
              <w:t xml:space="preserve">Dieser Antrag wurde </w:t>
            </w:r>
            <w:r w:rsidR="005C48F3">
              <w:t xml:space="preserve">durch die Gesellschaft für Pädiatrische Onkologie und Hämatologie e.V. </w:t>
            </w:r>
            <w:r>
              <w:t>mit Unterstützung des phar</w:t>
            </w:r>
            <w:r w:rsidR="00E3362C">
              <w:t>mazeutis</w:t>
            </w:r>
            <w:r w:rsidR="001B2657">
              <w:t xml:space="preserve">chen Herstellers EUSA </w:t>
            </w:r>
            <w:proofErr w:type="spellStart"/>
            <w:r w:rsidR="001B2657">
              <w:t>Pharma</w:t>
            </w:r>
            <w:proofErr w:type="spellEnd"/>
            <w:r w:rsidR="001B2657">
              <w:t xml:space="preserve"> GmbH </w:t>
            </w:r>
            <w:r w:rsidR="005C48F3">
              <w:t>vorformuliert.</w:t>
            </w:r>
          </w:p>
        </w:tc>
      </w:tr>
    </w:tbl>
    <w:p w14:paraId="4BDEFB7F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92A2600" w14:textId="77777777">
        <w:tc>
          <w:tcPr>
            <w:tcW w:w="9212" w:type="dxa"/>
          </w:tcPr>
          <w:p w14:paraId="44631BB1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1.1 Angefragte Untersuchungs- und Behandlungsmethode (Kurzbezeichnung)</w:t>
            </w:r>
          </w:p>
        </w:tc>
      </w:tr>
      <w:tr w:rsidR="008E6675" w:rsidRPr="005638EB" w14:paraId="1F0EAD7B" w14:textId="77777777">
        <w:tc>
          <w:tcPr>
            <w:tcW w:w="9212" w:type="dxa"/>
          </w:tcPr>
          <w:p w14:paraId="51009987" w14:textId="77777777" w:rsidR="00F83C4E" w:rsidRPr="008F5AED" w:rsidRDefault="00D278A6" w:rsidP="00E17036"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 w:rsidR="005C48F3">
              <w:t xml:space="preserve"> (ch14.18/CHO)</w:t>
            </w:r>
          </w:p>
        </w:tc>
      </w:tr>
    </w:tbl>
    <w:p w14:paraId="11220E92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1C426C0" w14:textId="77777777" w:rsidTr="005C48F3">
        <w:tc>
          <w:tcPr>
            <w:tcW w:w="9212" w:type="dxa"/>
          </w:tcPr>
          <w:p w14:paraId="6295A412" w14:textId="77777777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1.2 Alternative Bezeichnung(en) der Methode</w:t>
            </w:r>
          </w:p>
        </w:tc>
      </w:tr>
      <w:tr w:rsidR="008E6675" w:rsidRPr="005638EB" w14:paraId="4F79BEBD" w14:textId="77777777" w:rsidTr="005C48F3">
        <w:tc>
          <w:tcPr>
            <w:tcW w:w="9212" w:type="dxa"/>
          </w:tcPr>
          <w:p w14:paraId="7D0F4FEA" w14:textId="77777777" w:rsidR="008E6675" w:rsidRPr="000C44AD" w:rsidRDefault="000C44AD" w:rsidP="000C44AD">
            <w:proofErr w:type="spellStart"/>
            <w:r w:rsidRPr="000C44AD">
              <w:t>Dinituximab</w:t>
            </w:r>
            <w:proofErr w:type="spellEnd"/>
            <w:r w:rsidRPr="000C44AD">
              <w:t xml:space="preserve"> Beta EUSA</w:t>
            </w:r>
            <w:r w:rsidR="00D278A6" w:rsidRPr="000C44AD">
              <w:rPr>
                <w:vertAlign w:val="superscript"/>
              </w:rPr>
              <w:t>®</w:t>
            </w:r>
            <w:r w:rsidR="005C48F3" w:rsidRPr="000C44AD">
              <w:t xml:space="preserve"> (Handelsname)</w:t>
            </w:r>
            <w:r w:rsidRPr="000C44AD">
              <w:t xml:space="preserve"> </w:t>
            </w:r>
          </w:p>
        </w:tc>
      </w:tr>
    </w:tbl>
    <w:p w14:paraId="0C9746E2" w14:textId="77777777" w:rsidR="008E6675" w:rsidRDefault="008E6675" w:rsidP="005638EB">
      <w:pPr>
        <w:rPr>
          <w:rFonts w:ascii="Arial Narrow" w:hAnsi="Arial Narrow"/>
          <w:sz w:val="22"/>
        </w:rPr>
      </w:pPr>
    </w:p>
    <w:p w14:paraId="1A7A3241" w14:textId="77777777" w:rsidR="0038605F" w:rsidRDefault="0038605F" w:rsidP="005638EB">
      <w:pPr>
        <w:rPr>
          <w:rFonts w:ascii="Arial Narrow" w:hAnsi="Arial Narrow"/>
          <w:sz w:val="22"/>
        </w:rPr>
      </w:pPr>
    </w:p>
    <w:p w14:paraId="5CE6A19B" w14:textId="77777777" w:rsidR="0038605F" w:rsidRPr="005638EB" w:rsidRDefault="0038605F" w:rsidP="005638EB">
      <w:pPr>
        <w:rPr>
          <w:rFonts w:ascii="Arial Narrow" w:hAnsi="Arial Narrow"/>
          <w:sz w:val="22"/>
        </w:rPr>
      </w:pP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12435A3" w14:textId="77777777" w:rsidTr="00DC6ACA">
        <w:tc>
          <w:tcPr>
            <w:tcW w:w="9212" w:type="dxa"/>
          </w:tcPr>
          <w:p w14:paraId="228706FF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1.3 Beschreibung der neuen Methode</w:t>
            </w:r>
          </w:p>
        </w:tc>
      </w:tr>
      <w:tr w:rsidR="008E6675" w:rsidRPr="00235535" w14:paraId="535FB0E6" w14:textId="77777777" w:rsidTr="00DC6ACA">
        <w:tc>
          <w:tcPr>
            <w:tcW w:w="9212" w:type="dxa"/>
          </w:tcPr>
          <w:p w14:paraId="552A6F40" w14:textId="77777777" w:rsidR="000D2B68" w:rsidRPr="000D2B68" w:rsidRDefault="000D2B68" w:rsidP="000D2B68">
            <w:pPr>
              <w:rPr>
                <w:rFonts w:ascii="Arial Narrow" w:hAnsi="Arial Narrow"/>
                <w:b/>
              </w:rPr>
            </w:pPr>
            <w:r w:rsidRPr="000D2B68">
              <w:rPr>
                <w:rFonts w:ascii="Arial Narrow" w:hAnsi="Arial Narrow"/>
                <w:b/>
              </w:rPr>
              <w:t>Wirkweise</w:t>
            </w:r>
          </w:p>
          <w:p w14:paraId="57FADD90" w14:textId="77777777" w:rsidR="00405669" w:rsidRPr="00FD3984" w:rsidRDefault="00405669" w:rsidP="00405669">
            <w:pPr>
              <w:jc w:val="both"/>
            </w:pP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</w:t>
            </w:r>
            <w:r w:rsidR="00BA766A">
              <w:t xml:space="preserve">(ch14.18/CHO) </w:t>
            </w:r>
            <w:r>
              <w:t xml:space="preserve">ist ein </w:t>
            </w:r>
            <w:proofErr w:type="spellStart"/>
            <w:r>
              <w:t>chimärer</w:t>
            </w:r>
            <w:proofErr w:type="spellEnd"/>
            <w:r>
              <w:t xml:space="preserve"> </w:t>
            </w:r>
            <w:proofErr w:type="spellStart"/>
            <w:r>
              <w:t>monoklonaler</w:t>
            </w:r>
            <w:proofErr w:type="spellEnd"/>
            <w:r>
              <w:t xml:space="preserve"> Antikörper, produziert in</w:t>
            </w:r>
            <w:r w:rsidR="00713BD0">
              <w:t xml:space="preserve"> Chinese Hamster </w:t>
            </w:r>
            <w:proofErr w:type="spellStart"/>
            <w:r w:rsidR="00713BD0">
              <w:t>Ovary</w:t>
            </w:r>
            <w:proofErr w:type="spellEnd"/>
            <w:r>
              <w:t xml:space="preserve"> </w:t>
            </w:r>
            <w:r w:rsidR="00713BD0">
              <w:t>(</w:t>
            </w:r>
            <w:r>
              <w:t>CHO</w:t>
            </w:r>
            <w:r w:rsidR="00713BD0">
              <w:t>)</w:t>
            </w:r>
            <w:r>
              <w:t xml:space="preserve"> Zellen, der spezifisch das </w:t>
            </w:r>
            <w:proofErr w:type="spellStart"/>
            <w:r>
              <w:t>Disialogangliosid</w:t>
            </w:r>
            <w:proofErr w:type="spellEnd"/>
            <w:r>
              <w:t xml:space="preserve">-Antigen GD2 </w:t>
            </w:r>
            <w:r w:rsidR="00E01447">
              <w:t xml:space="preserve">erkennt – </w:t>
            </w:r>
            <w:r>
              <w:t>ein Oberflächenmolekül, welches in hoh</w:t>
            </w:r>
            <w:r w:rsidR="00A52D55">
              <w:t xml:space="preserve">er Dichte auf Tumorzellen </w:t>
            </w:r>
            <w:proofErr w:type="spellStart"/>
            <w:r w:rsidR="00A52D55">
              <w:t>neuro</w:t>
            </w:r>
            <w:r>
              <w:t>ektodermalen</w:t>
            </w:r>
            <w:proofErr w:type="spellEnd"/>
            <w:r>
              <w:t xml:space="preserve"> Ursprungs</w:t>
            </w:r>
            <w:r w:rsidR="00713BD0">
              <w:t xml:space="preserve"> exprimiert wird. Insbesondere</w:t>
            </w:r>
            <w:r>
              <w:t xml:space="preserve"> </w:t>
            </w:r>
            <w:r w:rsidR="00713BD0">
              <w:t xml:space="preserve">häufig und dicht wird GD2 uniform auf </w:t>
            </w:r>
            <w:proofErr w:type="spellStart"/>
            <w:r>
              <w:t>Neuroblastomzellen</w:t>
            </w:r>
            <w:proofErr w:type="spellEnd"/>
            <w:r w:rsidR="00713BD0">
              <w:t xml:space="preserve"> gefunden, aber auch andere Tumoren wie</w:t>
            </w:r>
            <w:r>
              <w:t xml:space="preserve"> </w:t>
            </w:r>
            <w:r w:rsidR="00713BD0">
              <w:t xml:space="preserve">Sarkome, </w:t>
            </w:r>
            <w:proofErr w:type="spellStart"/>
            <w:r w:rsidR="00713BD0">
              <w:t>Glioblastom</w:t>
            </w:r>
            <w:proofErr w:type="spellEnd"/>
            <w:r w:rsidR="00713BD0">
              <w:t>, Melanom und kleinzelliges Lungenkarzinom</w:t>
            </w:r>
            <w:r>
              <w:t xml:space="preserve"> </w:t>
            </w:r>
            <w:r w:rsidR="00713BD0">
              <w:t>sind häufig G</w:t>
            </w:r>
            <w:r w:rsidR="00C32C8D">
              <w:t>D</w:t>
            </w:r>
            <w:r w:rsidR="00713BD0">
              <w:t>2 positiv</w:t>
            </w:r>
            <w:r>
              <w:t>. Auf normalem Gewebe ist GD2 nur geringfügig nachzuweisen, es wird allerdings auf peripheren Nervenzellen exprimiert. Die r</w:t>
            </w:r>
            <w:r w:rsidR="00371DEB">
              <w:t>elativ</w:t>
            </w:r>
            <w:r>
              <w:t xml:space="preserve"> hohe tumorspezifische Expression macht GD2 zu einem geeigneten Target für die Immuntherapie mit </w:t>
            </w:r>
            <w:proofErr w:type="spellStart"/>
            <w:r>
              <w:t>monoklonalen</w:t>
            </w:r>
            <w:proofErr w:type="spellEnd"/>
            <w:r>
              <w:t xml:space="preserve"> Antikörpern. Der Wirkmechanismus des anti-GD2 Antikörpers basiert auf der </w:t>
            </w:r>
            <w:proofErr w:type="spellStart"/>
            <w:r>
              <w:t>Tumorzelllyse</w:t>
            </w:r>
            <w:proofErr w:type="spellEnd"/>
            <w:r>
              <w:t xml:space="preserve"> </w:t>
            </w:r>
            <w:r w:rsidR="006106E6">
              <w:t>durch</w:t>
            </w:r>
            <w:r>
              <w:t xml:space="preserve"> </w:t>
            </w:r>
            <w:r w:rsidR="00713BD0">
              <w:t>körpereigene immun</w:t>
            </w:r>
            <w:r w:rsidR="007B2923">
              <w:t>ologische Abwehrmechanismen wie</w:t>
            </w:r>
            <w:r w:rsidR="00713BD0">
              <w:t xml:space="preserve"> </w:t>
            </w:r>
            <w:r>
              <w:t>antikörpervermittelte zelluläre Zytotoxizität</w:t>
            </w:r>
            <w:r w:rsidR="000D2B68">
              <w:t xml:space="preserve"> (ADCC)</w:t>
            </w:r>
            <w:r>
              <w:t xml:space="preserve"> und komplementvermittelt</w:t>
            </w:r>
            <w:r w:rsidR="00243161">
              <w:t>e zelluläre Zytotoxizität (CDC)</w:t>
            </w:r>
            <w:r>
              <w:t xml:space="preserve"> bzw. dem Zusammenspiel beider Mechanismen.</w:t>
            </w:r>
          </w:p>
          <w:p w14:paraId="4E12CC0E" w14:textId="77777777" w:rsidR="002824AC" w:rsidRPr="00FD3984" w:rsidRDefault="002824AC" w:rsidP="0036325A">
            <w:pPr>
              <w:rPr>
                <w:rFonts w:ascii="Arial Narrow" w:hAnsi="Arial Narrow"/>
              </w:rPr>
            </w:pPr>
          </w:p>
          <w:p w14:paraId="422B20C2" w14:textId="77777777" w:rsidR="00860E2C" w:rsidRPr="00F050FD" w:rsidRDefault="007F30EF" w:rsidP="00860E2C">
            <w:pPr>
              <w:rPr>
                <w:rFonts w:ascii="Arial Narrow" w:hAnsi="Arial Narrow"/>
              </w:rPr>
            </w:pPr>
            <w:r w:rsidRPr="00630E3C">
              <w:rPr>
                <w:rFonts w:ascii="Arial Narrow" w:hAnsi="Arial Narrow"/>
                <w:b/>
              </w:rPr>
              <w:t>Evidenz</w:t>
            </w:r>
            <w:r w:rsidR="000D2B68">
              <w:rPr>
                <w:rFonts w:ascii="Arial Narrow" w:hAnsi="Arial Narrow"/>
                <w:b/>
              </w:rPr>
              <w:t>lage</w:t>
            </w:r>
          </w:p>
          <w:p w14:paraId="0B948CFE" w14:textId="3E50EB9B" w:rsidR="00405669" w:rsidRDefault="00405669" w:rsidP="00405669">
            <w:pPr>
              <w:jc w:val="both"/>
            </w:pPr>
            <w:r>
              <w:t xml:space="preserve">Seit 2010 wird die </w:t>
            </w:r>
            <w:proofErr w:type="spellStart"/>
            <w:r>
              <w:t>adjuvante</w:t>
            </w:r>
            <w:proofErr w:type="spellEnd"/>
            <w:r>
              <w:t xml:space="preserve"> Therapie</w:t>
            </w:r>
            <w:r w:rsidR="00A570B6">
              <w:t xml:space="preserve"> von Hochrisikon</w:t>
            </w:r>
            <w:r w:rsidR="00371DEB">
              <w:t>euroblastom</w:t>
            </w:r>
            <w:r w:rsidR="00A570B6">
              <w:t>-P</w:t>
            </w:r>
            <w:r>
              <w:t>atienten basierend au</w:t>
            </w:r>
            <w:r w:rsidR="00723B4A">
              <w:t>f GD2-</w:t>
            </w:r>
            <w:r>
              <w:t xml:space="preserve">spezifischer </w:t>
            </w:r>
            <w:r w:rsidRPr="00464E5E">
              <w:t xml:space="preserve">Immuntherapie </w:t>
            </w:r>
            <w:r>
              <w:t>nach erfolgreicher Ersttherapie (Induktions- und Konsolidierungstherapie) sow</w:t>
            </w:r>
            <w:r w:rsidR="0056420C">
              <w:t>ohl von pädiatrischen Onkologen</w:t>
            </w:r>
            <w:r>
              <w:t xml:space="preserve"> als auch </w:t>
            </w:r>
            <w:r w:rsidR="0056420C">
              <w:t xml:space="preserve">von </w:t>
            </w:r>
            <w:r>
              <w:t>Patienten bzw. deren rechtlichen Vertretern (Eltern) und Patientenvereinigungen als „der neue Standard“ in der Erhaltungstherapie angesehen</w:t>
            </w:r>
            <w:r w:rsidR="00DC6ACA">
              <w:t xml:space="preserve"> (1)</w:t>
            </w:r>
            <w:r>
              <w:t>.</w:t>
            </w:r>
            <w:r w:rsidR="00343636">
              <w:t xml:space="preserve"> </w:t>
            </w:r>
            <w:r>
              <w:t>In Europa initiierte das SIOPEN Konsortium eine multinationale</w:t>
            </w:r>
            <w:r w:rsidR="0056420C">
              <w:t>,</w:t>
            </w:r>
            <w:r>
              <w:t xml:space="preserve"> randomisierte Phas</w:t>
            </w:r>
            <w:r w:rsidR="00FD092B">
              <w:t>e III Studie mit 370</w:t>
            </w:r>
            <w:r w:rsidR="00A570B6">
              <w:t xml:space="preserve"> Hochrisikoneuroblastom-P</w:t>
            </w:r>
            <w:r>
              <w:t>atienten, um den in Europa entwickelten anti-GD2</w:t>
            </w:r>
            <w:r w:rsidR="0056420C">
              <w:t>-</w:t>
            </w:r>
            <w:r>
              <w:t xml:space="preserve">Antikörper (ch14.18/CHO </w:t>
            </w:r>
            <w:r w:rsidR="0056420C">
              <w:t>bzw.</w:t>
            </w:r>
            <w:r>
              <w:t xml:space="preserve">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) zu testen. Die Studie vergleicht die Wirkung von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mit und ohne IL-2 während der Erhaltungsphase. </w:t>
            </w:r>
            <w:r w:rsidR="0055107E">
              <w:t xml:space="preserve">Eine </w:t>
            </w:r>
            <w:r>
              <w:t xml:space="preserve">Monotherapie mit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erwies sich als ebenso effizient wie die Kombinationstherapie mit IL</w:t>
            </w:r>
            <w:r w:rsidR="0056420C">
              <w:t xml:space="preserve">-2 in Bezug auf </w:t>
            </w:r>
            <w:r w:rsidR="00E65E9E">
              <w:t>das e</w:t>
            </w:r>
            <w:r w:rsidR="0056420C">
              <w:t>reignis</w:t>
            </w:r>
            <w:r>
              <w:t xml:space="preserve">freie Überleben </w:t>
            </w:r>
            <w:r w:rsidR="003E024F">
              <w:t>(</w:t>
            </w:r>
            <w:r>
              <w:t>EFS</w:t>
            </w:r>
            <w:r w:rsidR="003E024F">
              <w:t>)</w:t>
            </w:r>
            <w:r>
              <w:t xml:space="preserve"> und </w:t>
            </w:r>
            <w:r w:rsidR="00E65E9E">
              <w:t xml:space="preserve">das </w:t>
            </w:r>
            <w:r>
              <w:t xml:space="preserve">Gesamtüberleben </w:t>
            </w:r>
            <w:r w:rsidR="003E024F">
              <w:t>(</w:t>
            </w:r>
            <w:r>
              <w:t>OS</w:t>
            </w:r>
            <w:r w:rsidR="003E024F">
              <w:t>)</w:t>
            </w:r>
            <w:r w:rsidR="0056420C">
              <w:t>.</w:t>
            </w:r>
            <w:r w:rsidR="00C46A99">
              <w:t xml:space="preserve"> Die Wirkung von </w:t>
            </w:r>
            <w:proofErr w:type="spellStart"/>
            <w:r w:rsidR="00C46A99">
              <w:t>Dinutuximab</w:t>
            </w:r>
            <w:proofErr w:type="spellEnd"/>
            <w:r w:rsidR="00C46A99">
              <w:t xml:space="preserve"> </w:t>
            </w:r>
            <w:proofErr w:type="spellStart"/>
            <w:r w:rsidR="00C46A99">
              <w:t>beta</w:t>
            </w:r>
            <w:proofErr w:type="spellEnd"/>
            <w:r w:rsidR="00C46A99">
              <w:t xml:space="preserve"> könnte sowohl bei Patienten mit kompletter als auch </w:t>
            </w:r>
            <w:r w:rsidR="00E85B53">
              <w:t xml:space="preserve">mit </w:t>
            </w:r>
            <w:r w:rsidR="00C46A99">
              <w:t xml:space="preserve">partieller Remission </w:t>
            </w:r>
            <w:r w:rsidR="00E85B53">
              <w:t>nach</w:t>
            </w:r>
            <w:r w:rsidR="00B147C8">
              <w:t xml:space="preserve"> der</w:t>
            </w:r>
            <w:r w:rsidR="00E85B53">
              <w:t xml:space="preserve"> Konsolidierung</w:t>
            </w:r>
            <w:r w:rsidR="00B147C8">
              <w:t>sphase</w:t>
            </w:r>
            <w:r w:rsidR="00E85B53">
              <w:t xml:space="preserve"> nachgewiesen werden</w:t>
            </w:r>
            <w:r w:rsidR="00B147C8">
              <w:t xml:space="preserve"> (Tabelle 1)</w:t>
            </w:r>
            <w:r w:rsidR="00E85B53">
              <w:t xml:space="preserve">. </w:t>
            </w:r>
            <w:r w:rsidR="00E65E9E">
              <w:t>Das</w:t>
            </w:r>
            <w:r w:rsidR="00E85B53">
              <w:t xml:space="preserve"> </w:t>
            </w:r>
            <w:r w:rsidR="0056420C">
              <w:t xml:space="preserve">2-Jahres </w:t>
            </w:r>
            <w:r>
              <w:t xml:space="preserve">EFS der Patienten mit kompletter Remission nach Konsolidierung war mit 69% vergleichbar mit den bereits publizierten Daten </w:t>
            </w:r>
            <w:r w:rsidR="0055107E">
              <w:t xml:space="preserve">der </w:t>
            </w:r>
            <w:r w:rsidR="0055107E">
              <w:lastRenderedPageBreak/>
              <w:t>amerikanischen COG</w:t>
            </w:r>
            <w:r w:rsidR="00E65E9E">
              <w:t>-Studie</w:t>
            </w:r>
            <w:r w:rsidR="0055107E">
              <w:t xml:space="preserve"> </w:t>
            </w:r>
            <w:r>
              <w:t xml:space="preserve">mit </w:t>
            </w:r>
            <w:r w:rsidR="00E65E9E">
              <w:t xml:space="preserve">einem </w:t>
            </w:r>
            <w:r>
              <w:t>2-Jahres EFS</w:t>
            </w:r>
            <w:r w:rsidR="00E65E9E">
              <w:t xml:space="preserve"> von 66%</w:t>
            </w:r>
            <w:r>
              <w:t xml:space="preserve"> (</w:t>
            </w:r>
            <w:r w:rsidR="00DC6ACA">
              <w:t>1)</w:t>
            </w:r>
            <w:r>
              <w:t xml:space="preserve">, </w:t>
            </w:r>
            <w:r w:rsidR="00E65E9E">
              <w:t xml:space="preserve">wobei </w:t>
            </w:r>
            <w:r>
              <w:t xml:space="preserve">allerdings </w:t>
            </w:r>
            <w:r w:rsidR="0055107E">
              <w:t xml:space="preserve">der </w:t>
            </w:r>
            <w:proofErr w:type="spellStart"/>
            <w:r w:rsidR="0055107E">
              <w:t>anti</w:t>
            </w:r>
            <w:proofErr w:type="spellEnd"/>
            <w:r w:rsidR="0055107E">
              <w:t xml:space="preserve"> GD2-Antikörper </w:t>
            </w:r>
            <w:r>
              <w:t xml:space="preserve">in Kombination mit </w:t>
            </w:r>
            <w:r w:rsidR="0055107E">
              <w:t xml:space="preserve">den </w:t>
            </w:r>
            <w:proofErr w:type="spellStart"/>
            <w:r>
              <w:t>Zytokin</w:t>
            </w:r>
            <w:r w:rsidR="0055107E">
              <w:t>en</w:t>
            </w:r>
            <w:proofErr w:type="spellEnd"/>
            <w:r w:rsidR="009C2BEC">
              <w:t xml:space="preserve"> </w:t>
            </w:r>
            <w:r>
              <w:t>IL-2 und GM-CSF</w:t>
            </w:r>
            <w:r w:rsidR="0055107E">
              <w:t xml:space="preserve"> eingesetzt</w:t>
            </w:r>
            <w:r w:rsidR="00E65E9E">
              <w:t xml:space="preserve"> wurde</w:t>
            </w:r>
            <w:r w:rsidR="009C2BEC">
              <w:t xml:space="preserve">. Insbesondere IL-2 weist aber ein hohes toxisches Potential </w:t>
            </w:r>
            <w:r w:rsidR="006106E6">
              <w:t>auf</w:t>
            </w:r>
            <w:r w:rsidR="00F1567C">
              <w:t>.</w:t>
            </w:r>
            <w:r>
              <w:t xml:space="preserve"> Die Antikörpertherapie ohne </w:t>
            </w:r>
            <w:proofErr w:type="spellStart"/>
            <w:r>
              <w:t>Zytokine</w:t>
            </w:r>
            <w:proofErr w:type="spellEnd"/>
            <w:r>
              <w:t xml:space="preserve"> zeichnet sich </w:t>
            </w:r>
            <w:r w:rsidR="009C2BEC">
              <w:t xml:space="preserve">daher </w:t>
            </w:r>
            <w:r>
              <w:t xml:space="preserve">besonders durch ein deutlich verbessertes Risikoprofil im Vergleich zur Kombinationstherapie mit </w:t>
            </w:r>
            <w:proofErr w:type="spellStart"/>
            <w:r>
              <w:t>Zytokinen</w:t>
            </w:r>
            <w:proofErr w:type="spellEnd"/>
            <w:r>
              <w:t xml:space="preserve"> aus. Besonders hämatologische </w:t>
            </w:r>
            <w:proofErr w:type="spellStart"/>
            <w:r>
              <w:t>Toxizitäten</w:t>
            </w:r>
            <w:proofErr w:type="spellEnd"/>
            <w:r>
              <w:t xml:space="preserve">, </w:t>
            </w:r>
            <w:r w:rsidR="00F47966">
              <w:t xml:space="preserve">ein </w:t>
            </w:r>
            <w:proofErr w:type="spellStart"/>
            <w:r>
              <w:t>Zytokin</w:t>
            </w:r>
            <w:proofErr w:type="spellEnd"/>
            <w:r>
              <w:t xml:space="preserve">-vermitteltes </w:t>
            </w:r>
            <w:r w:rsidR="006106E6">
              <w:t>Kapillarleck</w:t>
            </w:r>
            <w:r>
              <w:t xml:space="preserve"> Syndrom, aber auch neuropathische Schmerzen waren mit </w:t>
            </w:r>
            <w:proofErr w:type="spellStart"/>
            <w:r>
              <w:t>Dinutuximab</w:t>
            </w:r>
            <w:proofErr w:type="spellEnd"/>
            <w:r>
              <w:t xml:space="preserve"> beta</w:t>
            </w:r>
            <w:r w:rsidR="0056420C">
              <w:t>-</w:t>
            </w:r>
            <w:r>
              <w:t xml:space="preserve">Monotherapie signifikant </w:t>
            </w:r>
            <w:r w:rsidR="0055107E">
              <w:t>seltener</w:t>
            </w:r>
            <w:r>
              <w:t xml:space="preserve">. Aufgrund der molekularen Charakteristika von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r w:rsidR="003E024F">
              <w:t>ta</w:t>
            </w:r>
            <w:proofErr w:type="spellEnd"/>
            <w:r w:rsidR="003E024F">
              <w:t xml:space="preserve">, wie dem spezifischen </w:t>
            </w:r>
            <w:proofErr w:type="spellStart"/>
            <w:r w:rsidR="003E024F">
              <w:t>Glykosy</w:t>
            </w:r>
            <w:r>
              <w:t>lierungsmuster</w:t>
            </w:r>
            <w:proofErr w:type="spellEnd"/>
            <w:r w:rsidR="009C2BEC">
              <w:t xml:space="preserve"> </w:t>
            </w:r>
            <w:r w:rsidR="00F47966">
              <w:t>[</w:t>
            </w:r>
            <w:r w:rsidR="009C2BEC">
              <w:t xml:space="preserve">komplettes Fehlen </w:t>
            </w:r>
            <w:r w:rsidR="003D0072">
              <w:t xml:space="preserve">der </w:t>
            </w:r>
            <w:r w:rsidR="009C2BEC">
              <w:t>alpha-</w:t>
            </w:r>
            <w:proofErr w:type="spellStart"/>
            <w:r w:rsidR="009C2BEC">
              <w:t>gal</w:t>
            </w:r>
            <w:proofErr w:type="spellEnd"/>
            <w:r w:rsidR="009C2BEC">
              <w:t xml:space="preserve"> Determinante, die für die Induktion allergischer Reaktionen bekannt ist</w:t>
            </w:r>
            <w:r w:rsidR="000F1D04">
              <w:t xml:space="preserve"> (3</w:t>
            </w:r>
            <w:r w:rsidR="009C2BEC">
              <w:t>)</w:t>
            </w:r>
            <w:r w:rsidR="00F47966">
              <w:t>]</w:t>
            </w:r>
            <w:r>
              <w:t xml:space="preserve">, </w:t>
            </w:r>
            <w:r w:rsidR="009C2BEC">
              <w:t xml:space="preserve">profitieren </w:t>
            </w:r>
            <w:r>
              <w:t xml:space="preserve">die Patienten von einer niedrigen Inzidenz von infusionsbedingten allergischen oder anaphylaktischen Reaktionen.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(produziert in CHO Zellen) zeigte</w:t>
            </w:r>
            <w:r w:rsidR="00F1567C">
              <w:t xml:space="preserve"> </w:t>
            </w:r>
            <w:r w:rsidR="00A27F9B">
              <w:t xml:space="preserve">ferner </w:t>
            </w:r>
            <w:r>
              <w:t xml:space="preserve">in vitro </w:t>
            </w:r>
            <w:r w:rsidR="00A27F9B">
              <w:t>eine</w:t>
            </w:r>
            <w:r w:rsidR="003E024F">
              <w:t xml:space="preserve"> gesteigerte ADCC</w:t>
            </w:r>
            <w:r w:rsidR="00F47966">
              <w:t xml:space="preserve"> (Antikörper abhängige zelluläre Zytotoxizität)</w:t>
            </w:r>
            <w:r w:rsidR="003E024F">
              <w:t xml:space="preserve"> </w:t>
            </w:r>
            <w:r>
              <w:t xml:space="preserve">verglichen mit anderen ch14.18 Varianten, die in </w:t>
            </w:r>
            <w:proofErr w:type="spellStart"/>
            <w:r>
              <w:t>murinen</w:t>
            </w:r>
            <w:proofErr w:type="spellEnd"/>
            <w:r>
              <w:t xml:space="preserve"> SP2/0 Zellen hergestellt wurden</w:t>
            </w:r>
            <w:r w:rsidR="00D1063A">
              <w:t>.</w:t>
            </w:r>
          </w:p>
          <w:p w14:paraId="5CF1AFEF" w14:textId="77777777" w:rsidR="00471879" w:rsidRDefault="00471879" w:rsidP="00405669">
            <w:pPr>
              <w:jc w:val="both"/>
            </w:pPr>
          </w:p>
          <w:p w14:paraId="3EF73E7D" w14:textId="77777777" w:rsidR="00B147C8" w:rsidRDefault="00B147C8" w:rsidP="00405669">
            <w:pPr>
              <w:jc w:val="both"/>
            </w:pPr>
            <w:r>
              <w:t xml:space="preserve">Tabelle 1: </w:t>
            </w:r>
            <w:r w:rsidR="00411EDE">
              <w:t xml:space="preserve">Raten des EFS und OS bei </w:t>
            </w:r>
            <w:proofErr w:type="spellStart"/>
            <w:r w:rsidR="00411EDE">
              <w:t>Dinutuximb</w:t>
            </w:r>
            <w:proofErr w:type="spellEnd"/>
            <w:r w:rsidR="00411EDE">
              <w:t xml:space="preserve"> Beta behandelten Hochrisiko Patienten mit und ohne IL-2 nach1, 2 und 3 Jahren Follow-</w:t>
            </w:r>
            <w:proofErr w:type="spellStart"/>
            <w:r w:rsidR="00411EDE">
              <w:t>Up</w:t>
            </w:r>
            <w:proofErr w:type="spellEnd"/>
            <w:r w:rsidR="005F608F">
              <w:t xml:space="preserve"> (6</w:t>
            </w:r>
            <w:r w:rsidR="00B77B6C">
              <w:t>, 7</w:t>
            </w:r>
            <w:r w:rsidR="005F608F">
              <w:t>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992"/>
              <w:gridCol w:w="993"/>
              <w:gridCol w:w="992"/>
              <w:gridCol w:w="992"/>
              <w:gridCol w:w="992"/>
              <w:gridCol w:w="993"/>
            </w:tblGrid>
            <w:tr w:rsidR="00742E62" w:rsidRPr="00471879" w14:paraId="45264D8C" w14:textId="77777777" w:rsidTr="00315EC2">
              <w:tc>
                <w:tcPr>
                  <w:tcW w:w="1798" w:type="dxa"/>
                </w:tcPr>
                <w:p w14:paraId="2E251302" w14:textId="77777777" w:rsidR="00742E62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3"/>
                </w:tcPr>
                <w:p w14:paraId="5F570625" w14:textId="77777777" w:rsidR="00742E62" w:rsidRPr="00471879" w:rsidRDefault="00742E62" w:rsidP="00471879">
                  <w:pPr>
                    <w:jc w:val="center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EFS</w:t>
                  </w:r>
                </w:p>
              </w:tc>
              <w:tc>
                <w:tcPr>
                  <w:tcW w:w="2977" w:type="dxa"/>
                  <w:gridSpan w:val="3"/>
                </w:tcPr>
                <w:p w14:paraId="2893B227" w14:textId="77777777" w:rsidR="00742E62" w:rsidRPr="00471879" w:rsidRDefault="00742E62" w:rsidP="00471879">
                  <w:pPr>
                    <w:jc w:val="center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OS</w:t>
                  </w:r>
                </w:p>
              </w:tc>
            </w:tr>
            <w:tr w:rsidR="005E7BE8" w:rsidRPr="00471879" w14:paraId="2C15EA12" w14:textId="77777777" w:rsidTr="00315EC2">
              <w:tc>
                <w:tcPr>
                  <w:tcW w:w="1798" w:type="dxa"/>
                </w:tcPr>
                <w:p w14:paraId="6979C35B" w14:textId="77777777" w:rsidR="005E7BE8" w:rsidRPr="00471879" w:rsidRDefault="005E7BE8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Wirksamkeit</w:t>
                  </w:r>
                </w:p>
              </w:tc>
              <w:tc>
                <w:tcPr>
                  <w:tcW w:w="992" w:type="dxa"/>
                </w:tcPr>
                <w:p w14:paraId="7F486F8B" w14:textId="77777777" w:rsidR="005E7BE8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1 Jahr</w:t>
                  </w:r>
                </w:p>
              </w:tc>
              <w:tc>
                <w:tcPr>
                  <w:tcW w:w="993" w:type="dxa"/>
                </w:tcPr>
                <w:p w14:paraId="18EC2082" w14:textId="77777777" w:rsidR="005E7BE8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2 Jahre</w:t>
                  </w:r>
                </w:p>
              </w:tc>
              <w:tc>
                <w:tcPr>
                  <w:tcW w:w="992" w:type="dxa"/>
                </w:tcPr>
                <w:p w14:paraId="35A7DC31" w14:textId="77777777" w:rsidR="005E7BE8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3 Jahre</w:t>
                  </w:r>
                </w:p>
              </w:tc>
              <w:tc>
                <w:tcPr>
                  <w:tcW w:w="992" w:type="dxa"/>
                </w:tcPr>
                <w:p w14:paraId="03B709CA" w14:textId="77777777" w:rsidR="005E7BE8" w:rsidRPr="00471879" w:rsidRDefault="00315EC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1 Jahr</w:t>
                  </w:r>
                </w:p>
              </w:tc>
              <w:tc>
                <w:tcPr>
                  <w:tcW w:w="992" w:type="dxa"/>
                </w:tcPr>
                <w:p w14:paraId="1FFF3086" w14:textId="77777777" w:rsidR="005E7BE8" w:rsidRPr="00471879" w:rsidRDefault="00315EC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2 Jahre</w:t>
                  </w:r>
                </w:p>
              </w:tc>
              <w:tc>
                <w:tcPr>
                  <w:tcW w:w="993" w:type="dxa"/>
                </w:tcPr>
                <w:p w14:paraId="1BF5499E" w14:textId="77777777" w:rsidR="005E7BE8" w:rsidRPr="00471879" w:rsidRDefault="00315EC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3 Jahre</w:t>
                  </w:r>
                </w:p>
              </w:tc>
            </w:tr>
            <w:tr w:rsidR="00742E62" w:rsidRPr="00471879" w14:paraId="1F4393A1" w14:textId="77777777" w:rsidTr="00315EC2">
              <w:tc>
                <w:tcPr>
                  <w:tcW w:w="7752" w:type="dxa"/>
                  <w:gridSpan w:val="7"/>
                </w:tcPr>
                <w:p w14:paraId="5FC18CCE" w14:textId="77777777" w:rsidR="00742E62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 xml:space="preserve">Alle Patienten </w:t>
                  </w:r>
                  <w:r w:rsidR="00471879" w:rsidRPr="00471879">
                    <w:rPr>
                      <w:sz w:val="20"/>
                      <w:szCs w:val="20"/>
                    </w:rPr>
                    <w:t>(n= 370)</w:t>
                  </w:r>
                </w:p>
              </w:tc>
            </w:tr>
            <w:tr w:rsidR="005E7BE8" w:rsidRPr="00471879" w14:paraId="3373EEF7" w14:textId="77777777" w:rsidTr="00315EC2">
              <w:tc>
                <w:tcPr>
                  <w:tcW w:w="1798" w:type="dxa"/>
                </w:tcPr>
                <w:p w14:paraId="7E834454" w14:textId="77777777" w:rsidR="005E7BE8" w:rsidRPr="00471879" w:rsidRDefault="005E7BE8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Ohne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(180)</w:t>
                  </w:r>
                </w:p>
              </w:tc>
              <w:tc>
                <w:tcPr>
                  <w:tcW w:w="992" w:type="dxa"/>
                </w:tcPr>
                <w:p w14:paraId="0CE1373D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72%</w:t>
                  </w:r>
                </w:p>
              </w:tc>
              <w:tc>
                <w:tcPr>
                  <w:tcW w:w="993" w:type="dxa"/>
                </w:tcPr>
                <w:p w14:paraId="3710E837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63%</w:t>
                  </w:r>
                </w:p>
              </w:tc>
              <w:tc>
                <w:tcPr>
                  <w:tcW w:w="992" w:type="dxa"/>
                </w:tcPr>
                <w:p w14:paraId="1EA963A5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55%</w:t>
                  </w:r>
                </w:p>
              </w:tc>
              <w:tc>
                <w:tcPr>
                  <w:tcW w:w="992" w:type="dxa"/>
                </w:tcPr>
                <w:p w14:paraId="6360665D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72%</w:t>
                  </w:r>
                </w:p>
              </w:tc>
              <w:tc>
                <w:tcPr>
                  <w:tcW w:w="992" w:type="dxa"/>
                </w:tcPr>
                <w:p w14:paraId="0443EB2F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66%</w:t>
                  </w:r>
                </w:p>
              </w:tc>
              <w:tc>
                <w:tcPr>
                  <w:tcW w:w="993" w:type="dxa"/>
                </w:tcPr>
                <w:p w14:paraId="3CA2250B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61%</w:t>
                  </w:r>
                </w:p>
              </w:tc>
            </w:tr>
            <w:tr w:rsidR="005E7BE8" w:rsidRPr="00471879" w14:paraId="63DFC042" w14:textId="77777777" w:rsidTr="00315EC2">
              <w:tc>
                <w:tcPr>
                  <w:tcW w:w="1798" w:type="dxa"/>
                </w:tcPr>
                <w:p w14:paraId="01A336A7" w14:textId="77777777" w:rsidR="005E7BE8" w:rsidRPr="00471879" w:rsidRDefault="00742E6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Mit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(190)</w:t>
                  </w:r>
                </w:p>
              </w:tc>
              <w:tc>
                <w:tcPr>
                  <w:tcW w:w="992" w:type="dxa"/>
                </w:tcPr>
                <w:p w14:paraId="6D744BA1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86%</w:t>
                  </w:r>
                </w:p>
              </w:tc>
              <w:tc>
                <w:tcPr>
                  <w:tcW w:w="993" w:type="dxa"/>
                </w:tcPr>
                <w:p w14:paraId="21864AB7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76%</w:t>
                  </w:r>
                </w:p>
              </w:tc>
              <w:tc>
                <w:tcPr>
                  <w:tcW w:w="992" w:type="dxa"/>
                </w:tcPr>
                <w:p w14:paraId="37ED0ACC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64%</w:t>
                  </w:r>
                </w:p>
              </w:tc>
              <w:tc>
                <w:tcPr>
                  <w:tcW w:w="992" w:type="dxa"/>
                </w:tcPr>
                <w:p w14:paraId="1BC4166B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88%</w:t>
                  </w:r>
                </w:p>
              </w:tc>
              <w:tc>
                <w:tcPr>
                  <w:tcW w:w="992" w:type="dxa"/>
                </w:tcPr>
                <w:p w14:paraId="4C9CC656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993" w:type="dxa"/>
                </w:tcPr>
                <w:p w14:paraId="3571A550" w14:textId="77777777" w:rsidR="005E7BE8" w:rsidRPr="00471879" w:rsidRDefault="005F608F" w:rsidP="005E7B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69%</w:t>
                  </w:r>
                </w:p>
              </w:tc>
            </w:tr>
            <w:tr w:rsidR="00315EC2" w:rsidRPr="00471879" w14:paraId="2F68DB66" w14:textId="77777777" w:rsidTr="0055107E">
              <w:tc>
                <w:tcPr>
                  <w:tcW w:w="7752" w:type="dxa"/>
                  <w:gridSpan w:val="7"/>
                </w:tcPr>
                <w:p w14:paraId="19DF87C9" w14:textId="77777777" w:rsidR="00315EC2" w:rsidRPr="00471879" w:rsidRDefault="00315EC2" w:rsidP="005E7BE8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Patienten mit kompletter Remission nach Konsolidierung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(n= 211)</w:t>
                  </w:r>
                </w:p>
              </w:tc>
            </w:tr>
            <w:tr w:rsidR="00315EC2" w:rsidRPr="00471879" w14:paraId="71DF16F4" w14:textId="77777777" w:rsidTr="00315EC2">
              <w:tc>
                <w:tcPr>
                  <w:tcW w:w="1798" w:type="dxa"/>
                </w:tcPr>
                <w:p w14:paraId="64B5A66E" w14:textId="77777777" w:rsidR="00315EC2" w:rsidRPr="00471879" w:rsidRDefault="00315EC2" w:rsidP="00315EC2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Ohne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(104)</w:t>
                  </w:r>
                </w:p>
              </w:tc>
              <w:tc>
                <w:tcPr>
                  <w:tcW w:w="992" w:type="dxa"/>
                </w:tcPr>
                <w:p w14:paraId="27BEA3A7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77%</w:t>
                  </w:r>
                </w:p>
              </w:tc>
              <w:tc>
                <w:tcPr>
                  <w:tcW w:w="993" w:type="dxa"/>
                </w:tcPr>
                <w:p w14:paraId="57990167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992" w:type="dxa"/>
                </w:tcPr>
                <w:p w14:paraId="23D7AE0D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62%</w:t>
                  </w:r>
                </w:p>
              </w:tc>
              <w:tc>
                <w:tcPr>
                  <w:tcW w:w="992" w:type="dxa"/>
                </w:tcPr>
                <w:p w14:paraId="243CF633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992" w:type="dxa"/>
                </w:tcPr>
                <w:p w14:paraId="51BDD553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993" w:type="dxa"/>
                </w:tcPr>
                <w:p w14:paraId="7AAD9FF9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71%</w:t>
                  </w:r>
                </w:p>
              </w:tc>
            </w:tr>
            <w:tr w:rsidR="00315EC2" w:rsidRPr="00471879" w14:paraId="0A15F619" w14:textId="77777777" w:rsidTr="00315EC2">
              <w:tc>
                <w:tcPr>
                  <w:tcW w:w="1798" w:type="dxa"/>
                </w:tcPr>
                <w:p w14:paraId="16808674" w14:textId="77777777" w:rsidR="00315EC2" w:rsidRPr="00471879" w:rsidRDefault="00315EC2" w:rsidP="00315EC2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Mit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(107)</w:t>
                  </w:r>
                </w:p>
              </w:tc>
              <w:tc>
                <w:tcPr>
                  <w:tcW w:w="992" w:type="dxa"/>
                </w:tcPr>
                <w:p w14:paraId="5BB2D4B3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993" w:type="dxa"/>
                </w:tcPr>
                <w:p w14:paraId="7696B895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992" w:type="dxa"/>
                </w:tcPr>
                <w:p w14:paraId="0F341901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66%</w:t>
                  </w:r>
                </w:p>
              </w:tc>
              <w:tc>
                <w:tcPr>
                  <w:tcW w:w="992" w:type="dxa"/>
                </w:tcPr>
                <w:p w14:paraId="5CAFEBFE" w14:textId="77777777" w:rsidR="00315EC2" w:rsidRPr="00471879" w:rsidRDefault="005F608F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992" w:type="dxa"/>
                </w:tcPr>
                <w:p w14:paraId="63FD44B1" w14:textId="77777777" w:rsidR="00315EC2" w:rsidRPr="00471879" w:rsidRDefault="005F608F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993" w:type="dxa"/>
                </w:tcPr>
                <w:p w14:paraId="064116D7" w14:textId="77777777" w:rsidR="00315EC2" w:rsidRPr="00471879" w:rsidRDefault="005F608F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72%</w:t>
                  </w:r>
                </w:p>
              </w:tc>
            </w:tr>
            <w:tr w:rsidR="00315EC2" w:rsidRPr="00471879" w14:paraId="0D96079B" w14:textId="77777777" w:rsidTr="0055107E">
              <w:tc>
                <w:tcPr>
                  <w:tcW w:w="7752" w:type="dxa"/>
                  <w:gridSpan w:val="7"/>
                </w:tcPr>
                <w:p w14:paraId="078ED535" w14:textId="77777777" w:rsidR="00315EC2" w:rsidRPr="00471879" w:rsidRDefault="00315EC2" w:rsidP="00315EC2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Patienten mit partiellen Remission nach Konsolidierung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(n= 149)</w:t>
                  </w:r>
                </w:p>
              </w:tc>
            </w:tr>
            <w:tr w:rsidR="00315EC2" w:rsidRPr="00471879" w14:paraId="18F06F59" w14:textId="77777777" w:rsidTr="00315EC2">
              <w:tc>
                <w:tcPr>
                  <w:tcW w:w="1798" w:type="dxa"/>
                </w:tcPr>
                <w:p w14:paraId="4FAE855F" w14:textId="77777777" w:rsidR="00315EC2" w:rsidRPr="00471879" w:rsidRDefault="00315EC2" w:rsidP="00315EC2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Ohne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(73)</w:t>
                  </w:r>
                </w:p>
              </w:tc>
              <w:tc>
                <w:tcPr>
                  <w:tcW w:w="992" w:type="dxa"/>
                </w:tcPr>
                <w:p w14:paraId="753F72F6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993" w:type="dxa"/>
                </w:tcPr>
                <w:p w14:paraId="1E2A4553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58%</w:t>
                  </w:r>
                </w:p>
              </w:tc>
              <w:tc>
                <w:tcPr>
                  <w:tcW w:w="992" w:type="dxa"/>
                </w:tcPr>
                <w:p w14:paraId="56B241AA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46%</w:t>
                  </w:r>
                </w:p>
              </w:tc>
              <w:tc>
                <w:tcPr>
                  <w:tcW w:w="992" w:type="dxa"/>
                </w:tcPr>
                <w:p w14:paraId="0F8DFFA9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992" w:type="dxa"/>
                </w:tcPr>
                <w:p w14:paraId="5595B542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993" w:type="dxa"/>
                </w:tcPr>
                <w:p w14:paraId="6B578E06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54%</w:t>
                  </w:r>
                </w:p>
              </w:tc>
            </w:tr>
            <w:tr w:rsidR="00315EC2" w:rsidRPr="00471879" w14:paraId="7D703870" w14:textId="77777777" w:rsidTr="00315EC2">
              <w:tc>
                <w:tcPr>
                  <w:tcW w:w="1798" w:type="dxa"/>
                </w:tcPr>
                <w:p w14:paraId="5AEC63DA" w14:textId="77777777" w:rsidR="00315EC2" w:rsidRPr="00471879" w:rsidRDefault="00315EC2" w:rsidP="00315EC2">
                  <w:pPr>
                    <w:jc w:val="both"/>
                    <w:rPr>
                      <w:sz w:val="20"/>
                      <w:szCs w:val="20"/>
                    </w:rPr>
                  </w:pPr>
                  <w:r w:rsidRPr="00471879">
                    <w:rPr>
                      <w:sz w:val="20"/>
                      <w:szCs w:val="20"/>
                    </w:rPr>
                    <w:t>Mit IL-2</w:t>
                  </w:r>
                  <w:r w:rsidR="00471879" w:rsidRPr="00471879">
                    <w:rPr>
                      <w:sz w:val="20"/>
                      <w:szCs w:val="20"/>
                    </w:rPr>
                    <w:t xml:space="preserve"> (76)</w:t>
                  </w:r>
                </w:p>
              </w:tc>
              <w:tc>
                <w:tcPr>
                  <w:tcW w:w="992" w:type="dxa"/>
                </w:tcPr>
                <w:p w14:paraId="39BF76B7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72%</w:t>
                  </w:r>
                </w:p>
              </w:tc>
              <w:tc>
                <w:tcPr>
                  <w:tcW w:w="993" w:type="dxa"/>
                </w:tcPr>
                <w:p w14:paraId="013A2021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62%</w:t>
                  </w:r>
                </w:p>
              </w:tc>
              <w:tc>
                <w:tcPr>
                  <w:tcW w:w="992" w:type="dxa"/>
                </w:tcPr>
                <w:p w14:paraId="2DEF36B4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54%</w:t>
                  </w:r>
                </w:p>
              </w:tc>
              <w:tc>
                <w:tcPr>
                  <w:tcW w:w="992" w:type="dxa"/>
                </w:tcPr>
                <w:p w14:paraId="4D127161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86%</w:t>
                  </w:r>
                </w:p>
              </w:tc>
              <w:tc>
                <w:tcPr>
                  <w:tcW w:w="992" w:type="dxa"/>
                </w:tcPr>
                <w:p w14:paraId="57948159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71%</w:t>
                  </w:r>
                </w:p>
              </w:tc>
              <w:tc>
                <w:tcPr>
                  <w:tcW w:w="993" w:type="dxa"/>
                </w:tcPr>
                <w:p w14:paraId="77331316" w14:textId="77777777" w:rsidR="00315EC2" w:rsidRPr="00471879" w:rsidRDefault="00471879" w:rsidP="00315EC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63%</w:t>
                  </w:r>
                </w:p>
              </w:tc>
            </w:tr>
          </w:tbl>
          <w:p w14:paraId="55320DDB" w14:textId="77777777" w:rsidR="00FD092B" w:rsidRDefault="00FD092B" w:rsidP="00405669">
            <w:pPr>
              <w:jc w:val="both"/>
            </w:pPr>
          </w:p>
          <w:p w14:paraId="7C4A7D6C" w14:textId="77777777" w:rsidR="00044DE9" w:rsidRDefault="00405669" w:rsidP="00D1063A">
            <w:pPr>
              <w:jc w:val="both"/>
            </w:pPr>
            <w:r>
              <w:t>Rezidivierende oder refraktäre Neuroblastom</w:t>
            </w:r>
            <w:r w:rsidR="0056420C">
              <w:t>-P</w:t>
            </w:r>
            <w:r w:rsidR="006106E6">
              <w:t>atienten</w:t>
            </w:r>
            <w:r>
              <w:t xml:space="preserve"> </w:t>
            </w:r>
            <w:r w:rsidR="0056420C">
              <w:t>sind</w:t>
            </w:r>
            <w:r>
              <w:t xml:space="preserve"> durch eine extrem schlechte Prognose </w:t>
            </w:r>
            <w:r w:rsidR="0056420C">
              <w:t>charakterisiert</w:t>
            </w:r>
            <w:r>
              <w:t>. Das Gesamtüberleben nach 4 Jahren für dieses Patientenkollektiv beträgt nicht mehr als 14% (</w:t>
            </w:r>
            <w:r w:rsidR="000F1D04">
              <w:t>4</w:t>
            </w:r>
            <w:r>
              <w:t xml:space="preserve">). In </w:t>
            </w:r>
            <w:r w:rsidR="003D0072">
              <w:t xml:space="preserve">zwei </w:t>
            </w:r>
            <w:r>
              <w:t xml:space="preserve">Studien mit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zur Behandlung rezidivierter oder refraktärer Patienten zeigten sich objektive Ansprechraten </w:t>
            </w:r>
            <w:r w:rsidR="00FD6F6C">
              <w:t xml:space="preserve">im Bereich </w:t>
            </w:r>
            <w:r>
              <w:t xml:space="preserve">von </w:t>
            </w:r>
            <w:r w:rsidR="00EF69A5">
              <w:t>30</w:t>
            </w:r>
            <w:r w:rsidR="00FD6F6C">
              <w:t>-</w:t>
            </w:r>
            <w:r>
              <w:t>5</w:t>
            </w:r>
            <w:r w:rsidR="00EF69A5">
              <w:t>0</w:t>
            </w:r>
            <w:r>
              <w:t xml:space="preserve">% (Studie APN311-303 </w:t>
            </w:r>
            <w:r w:rsidR="00EF69A5">
              <w:t xml:space="preserve">sowie </w:t>
            </w:r>
            <w:r>
              <w:t xml:space="preserve">APN311-202). In einer weiteren Studie für rezidivierte Patienten, die die Machbarkeit von </w:t>
            </w:r>
            <w:proofErr w:type="spellStart"/>
            <w:r>
              <w:t>haploidenter</w:t>
            </w:r>
            <w:proofErr w:type="spellEnd"/>
            <w:r>
              <w:t xml:space="preserve"> </w:t>
            </w:r>
            <w:proofErr w:type="spellStart"/>
            <w:r>
              <w:t>Stamzelltransplantation</w:t>
            </w:r>
            <w:proofErr w:type="spellEnd"/>
            <w:r>
              <w:t xml:space="preserve"> gefolgt von GD2-spezifischer Immuntherapie mit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zeigen sollte</w:t>
            </w:r>
            <w:r w:rsidR="00700400">
              <w:t xml:space="preserve"> (APN311-201)</w:t>
            </w:r>
            <w:r>
              <w:t xml:space="preserve">, </w:t>
            </w:r>
            <w:r w:rsidR="00EF69A5">
              <w:t xml:space="preserve">lagen die objektiven Ansprechraten bei </w:t>
            </w:r>
            <w:r>
              <w:t>55%</w:t>
            </w:r>
            <w:r w:rsidR="00195E19">
              <w:t xml:space="preserve"> (6)</w:t>
            </w:r>
            <w:r>
              <w:t xml:space="preserve">. Das Gesamtüberleben in diesen Studien war 66% nach 3 Jahren (APN311-303), 54% nach 3 Jahren (APN311-202) </w:t>
            </w:r>
            <w:r w:rsidR="0056420C">
              <w:t>bzw.</w:t>
            </w:r>
            <w:r>
              <w:t xml:space="preserve"> 55% nach 3 Jahren (APN311-201)</w:t>
            </w:r>
            <w:r w:rsidR="00195E19">
              <w:t xml:space="preserve"> (6)</w:t>
            </w:r>
            <w:r>
              <w:t xml:space="preserve">. </w:t>
            </w:r>
          </w:p>
          <w:p w14:paraId="50BA8388" w14:textId="4E30BFA7" w:rsidR="00A477A8" w:rsidRDefault="00044DE9" w:rsidP="00D1063A">
            <w:pPr>
              <w:jc w:val="both"/>
            </w:pPr>
            <w:r>
              <w:t xml:space="preserve">Gegenüber historischen Daten von Patienten, die keine Immuntherapie erhielten, </w:t>
            </w:r>
            <w:r w:rsidR="00BC7B27">
              <w:t xml:space="preserve">führte </w:t>
            </w:r>
            <w:r>
              <w:t xml:space="preserve">die Behandlung mit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 w:rsidR="00A477A8">
              <w:t xml:space="preserve"> </w:t>
            </w:r>
            <w:r w:rsidR="00BC7B27">
              <w:t xml:space="preserve">zu </w:t>
            </w:r>
            <w:r w:rsidR="00A477A8">
              <w:t>eine</w:t>
            </w:r>
            <w:r w:rsidR="00BC7B27">
              <w:t>r</w:t>
            </w:r>
            <w:r w:rsidR="00A477A8">
              <w:t xml:space="preserve"> eindeutige</w:t>
            </w:r>
            <w:r w:rsidR="00BC7B27">
              <w:t>n</w:t>
            </w:r>
            <w:r w:rsidR="00A477A8">
              <w:t xml:space="preserve"> Verbesserung des </w:t>
            </w:r>
            <w:r w:rsidR="00C949A1">
              <w:t>OS und</w:t>
            </w:r>
            <w:r w:rsidR="00A477A8">
              <w:t xml:space="preserve"> EFS </w:t>
            </w:r>
            <w:r w:rsidR="0044201E">
              <w:t>im</w:t>
            </w:r>
            <w:r w:rsidR="00A477A8">
              <w:t xml:space="preserve">  </w:t>
            </w:r>
            <w:r w:rsidR="0044201E">
              <w:t>3-</w:t>
            </w:r>
            <w:r w:rsidR="00B77B6C">
              <w:t>Jahre</w:t>
            </w:r>
            <w:r w:rsidR="0044201E">
              <w:t>s-</w:t>
            </w:r>
            <w:r w:rsidR="00B77B6C">
              <w:t>Follow-U</w:t>
            </w:r>
            <w:r w:rsidR="00A477A8">
              <w:t>p</w:t>
            </w:r>
            <w:r w:rsidR="005D3D8D">
              <w:t xml:space="preserve"> (6)</w:t>
            </w:r>
            <w:r w:rsidR="00A477A8">
              <w:t>.</w:t>
            </w:r>
          </w:p>
          <w:p w14:paraId="1E54D672" w14:textId="77777777" w:rsidR="00B77B6C" w:rsidRDefault="00B77B6C" w:rsidP="00D1063A">
            <w:pPr>
              <w:jc w:val="both"/>
            </w:pPr>
          </w:p>
          <w:p w14:paraId="37B38551" w14:textId="77777777" w:rsidR="00B77B6C" w:rsidRDefault="00B77B6C" w:rsidP="00D1063A">
            <w:pPr>
              <w:jc w:val="both"/>
            </w:pPr>
          </w:p>
          <w:p w14:paraId="7D0E4D36" w14:textId="77777777" w:rsidR="009D3843" w:rsidRDefault="00C949A1" w:rsidP="00A477A8">
            <w:pPr>
              <w:jc w:val="both"/>
            </w:pPr>
            <w:r>
              <w:lastRenderedPageBreak/>
              <w:t xml:space="preserve"> </w:t>
            </w:r>
            <w:r w:rsidR="00A477A8">
              <w:t xml:space="preserve"> </w:t>
            </w:r>
          </w:p>
          <w:p w14:paraId="28B51A30" w14:textId="598D9717" w:rsidR="002E190C" w:rsidRDefault="00405669" w:rsidP="00D1063A">
            <w:pPr>
              <w:jc w:val="both"/>
            </w:pP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wird </w:t>
            </w:r>
            <w:r w:rsidR="00614662">
              <w:t xml:space="preserve">als Infusion über 8 Stunden oder </w:t>
            </w:r>
            <w:r w:rsidR="0044201E">
              <w:t xml:space="preserve">als </w:t>
            </w:r>
            <w:r>
              <w:t>kontinuierliche Infusion</w:t>
            </w:r>
            <w:r w:rsidR="00614662">
              <w:t xml:space="preserve"> über 10 Tage </w:t>
            </w:r>
            <w:r>
              <w:t xml:space="preserve">verabreicht. Die Einführung der Verabreichung von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mittels kontinuierlicher Infusion über 10 Tage führt zusätzlich zu einer deutlichen Verminderung von neuropathischen Schmerzen und einer damit verbundenen verminderten Notwendigkeit zur Gabe von i.v. Opioiden verglichen mit der Ver</w:t>
            </w:r>
            <w:r w:rsidR="00D1063A">
              <w:t>abreichung als Kurzinfusion. Auß</w:t>
            </w:r>
            <w:r>
              <w:t xml:space="preserve">erdem verbessert das kontinuierliche Infusionsschema das </w:t>
            </w:r>
            <w:proofErr w:type="spellStart"/>
            <w:r>
              <w:t>pharmakokinetische</w:t>
            </w:r>
            <w:proofErr w:type="spellEnd"/>
            <w:r>
              <w:t xml:space="preserve"> Profil. Dadurch kann ein kontinuierlicher </w:t>
            </w:r>
            <w:proofErr w:type="spellStart"/>
            <w:r>
              <w:t>lytischer</w:t>
            </w:r>
            <w:proofErr w:type="spellEnd"/>
            <w:r>
              <w:t xml:space="preserve"> Druck</w:t>
            </w:r>
            <w:r w:rsidR="003D0072">
              <w:t xml:space="preserve"> (via der körpereigenen </w:t>
            </w:r>
            <w:proofErr w:type="spellStart"/>
            <w:r w:rsidR="003D0072">
              <w:t>Effektorfunktionen</w:t>
            </w:r>
            <w:proofErr w:type="spellEnd"/>
            <w:r w:rsidR="003D0072">
              <w:t xml:space="preserve"> ADCC und CDC)</w:t>
            </w:r>
            <w:r>
              <w:t xml:space="preserve"> gegen die Tumorzellen über die gesamte Behandlungsperiode von 6 Monaten aufgebaut werden</w:t>
            </w:r>
            <w:r w:rsidR="00DC6ACA">
              <w:t xml:space="preserve"> (</w:t>
            </w:r>
            <w:r w:rsidR="00700400">
              <w:t>5</w:t>
            </w:r>
            <w:r w:rsidR="00DC6ACA">
              <w:t>)</w:t>
            </w:r>
            <w:r>
              <w:t>.</w:t>
            </w:r>
          </w:p>
          <w:p w14:paraId="27EA2147" w14:textId="77777777" w:rsidR="0044201E" w:rsidRDefault="0044201E" w:rsidP="00D1063A">
            <w:pPr>
              <w:jc w:val="both"/>
            </w:pPr>
          </w:p>
          <w:p w14:paraId="78798016" w14:textId="77777777" w:rsidR="00EA73D0" w:rsidRPr="00EA73D0" w:rsidRDefault="00EA73D0" w:rsidP="00EA73D0">
            <w:pPr>
              <w:rPr>
                <w:rFonts w:ascii="Arial Narrow" w:hAnsi="Arial Narrow"/>
                <w:b/>
              </w:rPr>
            </w:pPr>
            <w:r w:rsidRPr="00EA73D0">
              <w:rPr>
                <w:rFonts w:ascii="Arial Narrow" w:hAnsi="Arial Narrow"/>
                <w:b/>
              </w:rPr>
              <w:t>Dosis</w:t>
            </w:r>
          </w:p>
          <w:p w14:paraId="6833C90C" w14:textId="0BDB0F02" w:rsidR="006879E1" w:rsidRDefault="006879E1" w:rsidP="006879E1">
            <w:pPr>
              <w:tabs>
                <w:tab w:val="left" w:pos="1290"/>
              </w:tabs>
              <w:jc w:val="both"/>
            </w:pPr>
            <w:r>
              <w:t xml:space="preserve">Die Behandlung mit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</w:t>
            </w:r>
            <w:proofErr w:type="spellStart"/>
            <w:r>
              <w:t>Apeiron</w:t>
            </w:r>
            <w:proofErr w:type="spellEnd"/>
            <w:r>
              <w:t xml:space="preserve"> besteht aus 5 aufeinanderfolgenden Zyklen zu je 35 Tagen. Die Einzeldosis wird anhand der Körperoberfläche bestimmt und sollte insgesamt 100 mg/m</w:t>
            </w:r>
            <w:r w:rsidR="0044201E">
              <w:t>²</w:t>
            </w:r>
            <w:r>
              <w:t xml:space="preserve"> pro Zyklus betragen.</w:t>
            </w:r>
          </w:p>
          <w:p w14:paraId="25B4B158" w14:textId="77777777" w:rsidR="006879E1" w:rsidRDefault="006879E1" w:rsidP="006879E1">
            <w:pPr>
              <w:tabs>
                <w:tab w:val="left" w:pos="1290"/>
              </w:tabs>
              <w:jc w:val="both"/>
            </w:pPr>
            <w:r>
              <w:t>Es sind zwei Arten der Verabreichung möglich:</w:t>
            </w:r>
          </w:p>
          <w:p w14:paraId="20044A99" w14:textId="77777777" w:rsidR="006879E1" w:rsidRDefault="006879E1" w:rsidP="006879E1">
            <w:pPr>
              <w:pStyle w:val="Listenabsatz"/>
              <w:numPr>
                <w:ilvl w:val="0"/>
                <w:numId w:val="12"/>
              </w:numPr>
              <w:tabs>
                <w:tab w:val="left" w:pos="1290"/>
              </w:tabs>
              <w:jc w:val="both"/>
              <w:rPr>
                <w:rFonts w:ascii="Times New Roman" w:hAnsi="Times New Roman"/>
              </w:rPr>
            </w:pPr>
            <w:r w:rsidRPr="006879E1">
              <w:rPr>
                <w:rFonts w:ascii="Times New Roman" w:hAnsi="Times New Roman"/>
              </w:rPr>
              <w:t>eine kontinuierliche Infusion über die ersten 10 Tage eines jeden Zyklus (insgesamt 240 Stunden), mit einer täglichen Dosis von 10 mg/m</w:t>
            </w:r>
            <w:r w:rsidRPr="00A27F9B">
              <w:rPr>
                <w:rFonts w:ascii="Times New Roman" w:hAnsi="Times New Roman"/>
                <w:vertAlign w:val="superscript"/>
              </w:rPr>
              <w:t>2</w:t>
            </w:r>
          </w:p>
          <w:p w14:paraId="072C3B84" w14:textId="77777777" w:rsidR="0044201E" w:rsidRDefault="006879E1" w:rsidP="0044201E">
            <w:pPr>
              <w:pStyle w:val="Listenabsatz"/>
              <w:numPr>
                <w:ilvl w:val="0"/>
                <w:numId w:val="12"/>
              </w:numPr>
              <w:tabs>
                <w:tab w:val="left" w:pos="1290"/>
              </w:tabs>
              <w:jc w:val="both"/>
              <w:rPr>
                <w:rFonts w:ascii="Times New Roman" w:hAnsi="Times New Roman"/>
              </w:rPr>
            </w:pPr>
            <w:r w:rsidRPr="006879E1">
              <w:rPr>
                <w:rFonts w:ascii="Times New Roman" w:hAnsi="Times New Roman"/>
              </w:rPr>
              <w:t>oder fünf täglich stattfindende Infusionen zu je 20 mg/m</w:t>
            </w:r>
            <w:r w:rsidRPr="00A27F9B">
              <w:rPr>
                <w:rFonts w:ascii="Times New Roman" w:hAnsi="Times New Roman"/>
                <w:vertAlign w:val="superscript"/>
              </w:rPr>
              <w:t>2</w:t>
            </w:r>
            <w:r w:rsidRPr="006879E1">
              <w:rPr>
                <w:rFonts w:ascii="Times New Roman" w:hAnsi="Times New Roman"/>
              </w:rPr>
              <w:t>, verabreicht über 8 Stunden an den ersten 5 Tagen eines jeden Zyklus.</w:t>
            </w:r>
            <w:r w:rsidR="0044201E">
              <w:rPr>
                <w:rFonts w:ascii="Times New Roman" w:hAnsi="Times New Roman"/>
              </w:rPr>
              <w:t xml:space="preserve"> </w:t>
            </w:r>
          </w:p>
          <w:p w14:paraId="5FAE89F3" w14:textId="46F3F764" w:rsidR="00DC6ACA" w:rsidRPr="0044201E" w:rsidRDefault="00EA73D0" w:rsidP="0044201E">
            <w:pPr>
              <w:jc w:val="both"/>
            </w:pPr>
            <w:r w:rsidRPr="0044201E">
              <w:t>Empfohlene Dosierung ist 10mg/m²/Tag kontinuierlich i.v. übe</w:t>
            </w:r>
            <w:r w:rsidR="00343636" w:rsidRPr="0050713A">
              <w:t>r 10 Tage. Die Gesamtdosis pro Behandlungsz</w:t>
            </w:r>
            <w:r w:rsidRPr="000E51AF">
              <w:t>yklus beträgt 100mg/m² Körperoberfläche. Die Therapie besteht aus 5 Zyklen mit einer Zykluslänge von 35 Tagen.</w:t>
            </w:r>
          </w:p>
          <w:p w14:paraId="45EF1C39" w14:textId="77777777" w:rsidR="00DC6ACA" w:rsidRDefault="00DC6ACA" w:rsidP="00EB4251">
            <w:pPr>
              <w:tabs>
                <w:tab w:val="left" w:pos="1290"/>
              </w:tabs>
              <w:jc w:val="both"/>
            </w:pPr>
          </w:p>
          <w:p w14:paraId="011A9499" w14:textId="77777777" w:rsidR="00DC6ACA" w:rsidRPr="00A27F9B" w:rsidRDefault="00E43A6D" w:rsidP="00E43A6D">
            <w:pPr>
              <w:rPr>
                <w:lang w:val="es-ES"/>
              </w:rPr>
            </w:pPr>
            <w:r w:rsidRPr="00A27F9B">
              <w:rPr>
                <w:rFonts w:ascii="Arial Narrow" w:hAnsi="Arial Narrow"/>
                <w:b/>
                <w:lang w:val="es-ES"/>
              </w:rPr>
              <w:t>Literatur</w:t>
            </w:r>
          </w:p>
          <w:p w14:paraId="73C3558B" w14:textId="77777777" w:rsidR="00DC6ACA" w:rsidRPr="00E43A6D" w:rsidRDefault="00DC6ACA" w:rsidP="00D76ABC">
            <w:pPr>
              <w:jc w:val="both"/>
              <w:rPr>
                <w:sz w:val="22"/>
                <w:szCs w:val="22"/>
                <w:lang w:val="en-US"/>
              </w:rPr>
            </w:pPr>
            <w:r w:rsidRPr="00A27F9B">
              <w:rPr>
                <w:lang w:val="es-ES"/>
              </w:rPr>
              <w:t>(</w:t>
            </w:r>
            <w:r w:rsidR="00CB08E2" w:rsidRPr="00A27F9B">
              <w:rPr>
                <w:lang w:val="es-ES"/>
              </w:rPr>
              <w:t>1) Yu AL, et al.</w:t>
            </w:r>
            <w:r w:rsidRPr="00A27F9B">
              <w:rPr>
                <w:lang w:val="es-ES"/>
              </w:rPr>
              <w:t xml:space="preserve"> </w:t>
            </w:r>
            <w:r w:rsidRPr="00E43A6D">
              <w:rPr>
                <w:lang w:val="en-US"/>
              </w:rPr>
              <w:t xml:space="preserve">Anti-GD2 antibody with GM-CSF, interleukin-2, and isotretinoin </w:t>
            </w:r>
            <w:r w:rsidR="00CB08E2">
              <w:rPr>
                <w:lang w:val="en-US"/>
              </w:rPr>
              <w:t xml:space="preserve">for neuroblastoma. N </w:t>
            </w:r>
            <w:proofErr w:type="spellStart"/>
            <w:r w:rsidR="00CB08E2">
              <w:rPr>
                <w:lang w:val="en-US"/>
              </w:rPr>
              <w:t>Engl</w:t>
            </w:r>
            <w:proofErr w:type="spellEnd"/>
            <w:r w:rsidR="00CB08E2">
              <w:rPr>
                <w:lang w:val="en-US"/>
              </w:rPr>
              <w:t xml:space="preserve"> J Med 2010. 363: </w:t>
            </w:r>
            <w:r w:rsidRPr="00E43A6D">
              <w:rPr>
                <w:lang w:val="en-US"/>
              </w:rPr>
              <w:t>1324-</w:t>
            </w:r>
            <w:r w:rsidR="00CB08E2">
              <w:rPr>
                <w:lang w:val="en-US"/>
              </w:rPr>
              <w:t>1334.</w:t>
            </w:r>
          </w:p>
          <w:p w14:paraId="27B5BCE5" w14:textId="77777777" w:rsidR="000F1D04" w:rsidRPr="00E43A6D" w:rsidRDefault="00541E38" w:rsidP="00D76ABC">
            <w:pPr>
              <w:tabs>
                <w:tab w:val="left" w:pos="1290"/>
              </w:tabs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(2) Ladenstein R.</w:t>
            </w:r>
            <w:r w:rsidR="00CB08E2">
              <w:rPr>
                <w:lang w:val="en-US"/>
              </w:rPr>
              <w:t>,</w:t>
            </w:r>
            <w:r>
              <w:rPr>
                <w:lang w:val="en-US"/>
              </w:rPr>
              <w:t xml:space="preserve"> et al</w:t>
            </w:r>
            <w:r w:rsidR="00CB08E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C52D5A" w:rsidRPr="00E43A6D">
              <w:rPr>
                <w:bCs/>
                <w:lang w:val="en-US"/>
              </w:rPr>
              <w:t>Toxicity and outcome of anti-G</w:t>
            </w:r>
            <w:r w:rsidR="00CB08E2">
              <w:rPr>
                <w:bCs/>
                <w:lang w:val="en-US"/>
              </w:rPr>
              <w:t>D2</w:t>
            </w:r>
            <w:r w:rsidR="00C52D5A" w:rsidRPr="00E43A6D">
              <w:rPr>
                <w:bCs/>
                <w:lang w:val="en-US"/>
              </w:rPr>
              <w:t xml:space="preserve"> antibody ch14.18/CHO in front-line, high-risk patients with neuroblastoma: Final results of the phase III immunotherapy </w:t>
            </w:r>
            <w:proofErr w:type="spellStart"/>
            <w:r w:rsidR="00C52D5A" w:rsidRPr="00E43A6D">
              <w:rPr>
                <w:bCs/>
                <w:lang w:val="en-US"/>
              </w:rPr>
              <w:t>randomisation</w:t>
            </w:r>
            <w:proofErr w:type="spellEnd"/>
            <w:r w:rsidR="00C52D5A" w:rsidRPr="00E43A6D">
              <w:rPr>
                <w:bCs/>
                <w:lang w:val="en-US"/>
              </w:rPr>
              <w:t xml:space="preserve"> (HR-NBL1/SIOPEN trial). </w:t>
            </w:r>
            <w:r w:rsidRPr="00E43A6D">
              <w:rPr>
                <w:lang w:val="en-US"/>
              </w:rPr>
              <w:t xml:space="preserve">J </w:t>
            </w:r>
            <w:proofErr w:type="spellStart"/>
            <w:r w:rsidRPr="00E43A6D">
              <w:rPr>
                <w:lang w:val="en-US"/>
              </w:rPr>
              <w:t>Clin</w:t>
            </w:r>
            <w:proofErr w:type="spellEnd"/>
            <w:r w:rsidRPr="00E43A6D">
              <w:rPr>
                <w:lang w:val="en-US"/>
              </w:rPr>
              <w:t xml:space="preserve"> </w:t>
            </w:r>
            <w:proofErr w:type="spellStart"/>
            <w:r w:rsidRPr="00E43A6D">
              <w:rPr>
                <w:lang w:val="en-US"/>
              </w:rPr>
              <w:t>Oncol</w:t>
            </w:r>
            <w:proofErr w:type="spellEnd"/>
            <w:r w:rsidRPr="00E43A6D">
              <w:rPr>
                <w:lang w:val="en-US"/>
              </w:rPr>
              <w:t xml:space="preserve"> 34, 2016 (</w:t>
            </w:r>
            <w:proofErr w:type="spellStart"/>
            <w:r w:rsidRPr="00E43A6D">
              <w:rPr>
                <w:lang w:val="en-US"/>
              </w:rPr>
              <w:t>suppl</w:t>
            </w:r>
            <w:proofErr w:type="spellEnd"/>
            <w:r w:rsidRPr="00E43A6D">
              <w:rPr>
                <w:lang w:val="en-US"/>
              </w:rPr>
              <w:t xml:space="preserve">; </w:t>
            </w:r>
            <w:proofErr w:type="spellStart"/>
            <w:r w:rsidRPr="00E43A6D">
              <w:rPr>
                <w:lang w:val="en-US"/>
              </w:rPr>
              <w:t>abstr</w:t>
            </w:r>
            <w:proofErr w:type="spellEnd"/>
            <w:r w:rsidRPr="00E43A6D">
              <w:rPr>
                <w:lang w:val="en-US"/>
              </w:rPr>
              <w:t xml:space="preserve"> 10500)</w:t>
            </w:r>
            <w:r w:rsidR="00CB08E2">
              <w:rPr>
                <w:lang w:val="en-US"/>
              </w:rPr>
              <w:t>.</w:t>
            </w:r>
          </w:p>
          <w:p w14:paraId="021C64E7" w14:textId="77777777" w:rsidR="000F1D04" w:rsidRPr="00E43A6D" w:rsidRDefault="000F1D04" w:rsidP="00D76ABC">
            <w:pPr>
              <w:tabs>
                <w:tab w:val="left" w:pos="1290"/>
              </w:tabs>
              <w:jc w:val="both"/>
              <w:rPr>
                <w:lang w:val="en-US"/>
              </w:rPr>
            </w:pPr>
            <w:r w:rsidRPr="00E43A6D">
              <w:rPr>
                <w:lang w:val="en-US"/>
              </w:rPr>
              <w:t>(3)</w:t>
            </w:r>
            <w:r w:rsidR="00780D1C" w:rsidRPr="00E43A6D">
              <w:rPr>
                <w:lang w:val="en-US"/>
              </w:rPr>
              <w:t xml:space="preserve"> Chung CH, et al. </w:t>
            </w:r>
            <w:proofErr w:type="spellStart"/>
            <w:r w:rsidR="00C52D5A" w:rsidRPr="00E43A6D">
              <w:rPr>
                <w:lang w:val="en-US"/>
              </w:rPr>
              <w:t>Cetuximab</w:t>
            </w:r>
            <w:proofErr w:type="spellEnd"/>
            <w:r w:rsidR="00C52D5A" w:rsidRPr="00E43A6D">
              <w:rPr>
                <w:lang w:val="en-US"/>
              </w:rPr>
              <w:t xml:space="preserve">-induced anaphylaxis and </w:t>
            </w:r>
            <w:proofErr w:type="spellStart"/>
            <w:r w:rsidR="00C52D5A" w:rsidRPr="00E43A6D">
              <w:rPr>
                <w:lang w:val="en-US"/>
              </w:rPr>
              <w:t>IgE</w:t>
            </w:r>
            <w:proofErr w:type="spellEnd"/>
            <w:r w:rsidR="00C52D5A" w:rsidRPr="00E43A6D">
              <w:rPr>
                <w:lang w:val="en-US"/>
              </w:rPr>
              <w:t xml:space="preserve"> specific for galactose-alpha-1,3-galactose. </w:t>
            </w:r>
            <w:r w:rsidR="00CB08E2">
              <w:rPr>
                <w:lang w:val="en-US"/>
              </w:rPr>
              <w:t xml:space="preserve">N </w:t>
            </w:r>
            <w:proofErr w:type="spellStart"/>
            <w:r w:rsidR="00CB08E2">
              <w:rPr>
                <w:lang w:val="en-US"/>
              </w:rPr>
              <w:t>Engl</w:t>
            </w:r>
            <w:proofErr w:type="spellEnd"/>
            <w:r w:rsidR="00CB08E2">
              <w:rPr>
                <w:lang w:val="en-US"/>
              </w:rPr>
              <w:t xml:space="preserve"> J Med 2008. </w:t>
            </w:r>
            <w:r w:rsidR="00780D1C" w:rsidRPr="00E43A6D">
              <w:rPr>
                <w:lang w:val="en-US"/>
              </w:rPr>
              <w:t>358:</w:t>
            </w:r>
            <w:r w:rsidR="00CB08E2">
              <w:rPr>
                <w:lang w:val="en-US"/>
              </w:rPr>
              <w:t xml:space="preserve"> </w:t>
            </w:r>
            <w:r w:rsidR="00780D1C" w:rsidRPr="00E43A6D">
              <w:rPr>
                <w:lang w:val="en-US"/>
              </w:rPr>
              <w:t>1109-1117</w:t>
            </w:r>
            <w:r w:rsidR="00CB08E2">
              <w:rPr>
                <w:lang w:val="en-US"/>
              </w:rPr>
              <w:t>.</w:t>
            </w:r>
          </w:p>
          <w:p w14:paraId="16579EE1" w14:textId="77777777" w:rsidR="00700400" w:rsidRPr="00E43A6D" w:rsidRDefault="000F1D04" w:rsidP="00D76ABC">
            <w:pPr>
              <w:tabs>
                <w:tab w:val="left" w:pos="1290"/>
              </w:tabs>
              <w:jc w:val="both"/>
              <w:rPr>
                <w:lang w:val="en-US"/>
              </w:rPr>
            </w:pPr>
            <w:r w:rsidRPr="00E43A6D">
              <w:rPr>
                <w:lang w:val="en-US"/>
              </w:rPr>
              <w:t>(4) London W.</w:t>
            </w:r>
            <w:r w:rsidR="00CB08E2">
              <w:rPr>
                <w:lang w:val="en-US"/>
              </w:rPr>
              <w:t>,</w:t>
            </w:r>
            <w:r w:rsidRPr="00E43A6D">
              <w:rPr>
                <w:lang w:val="en-US"/>
              </w:rPr>
              <w:t xml:space="preserve"> et al. </w:t>
            </w:r>
            <w:r w:rsidR="00C52D5A" w:rsidRPr="00E43A6D">
              <w:rPr>
                <w:bCs/>
                <w:lang w:val="en-US"/>
              </w:rPr>
              <w:t>Historical gold standard for time-to-progression (TTP) and progression-free survival (PFS) from relapsed/refractory neuroblastoma modern era (2002-2014) patients</w:t>
            </w:r>
            <w:r w:rsidR="00D76ABC">
              <w:rPr>
                <w:bCs/>
                <w:lang w:val="en-US"/>
              </w:rPr>
              <w:t>.</w:t>
            </w:r>
            <w:r w:rsidR="00C52D5A" w:rsidRPr="00E43A6D">
              <w:rPr>
                <w:lang w:val="en-US"/>
              </w:rPr>
              <w:t xml:space="preserve"> </w:t>
            </w:r>
            <w:r w:rsidRPr="00E43A6D">
              <w:rPr>
                <w:lang w:val="en-US"/>
              </w:rPr>
              <w:t xml:space="preserve">J </w:t>
            </w:r>
            <w:proofErr w:type="spellStart"/>
            <w:r w:rsidRPr="00E43A6D">
              <w:rPr>
                <w:lang w:val="en-US"/>
              </w:rPr>
              <w:t>Clin</w:t>
            </w:r>
            <w:proofErr w:type="spellEnd"/>
            <w:r w:rsidRPr="00E43A6D">
              <w:rPr>
                <w:lang w:val="en-US"/>
              </w:rPr>
              <w:t xml:space="preserve"> </w:t>
            </w:r>
            <w:proofErr w:type="spellStart"/>
            <w:r w:rsidRPr="00E43A6D">
              <w:rPr>
                <w:lang w:val="en-US"/>
              </w:rPr>
              <w:t>Oncol</w:t>
            </w:r>
            <w:proofErr w:type="spellEnd"/>
            <w:r w:rsidRPr="00E43A6D">
              <w:rPr>
                <w:lang w:val="en-US"/>
              </w:rPr>
              <w:t xml:space="preserve"> 32:5s, 2014 (</w:t>
            </w:r>
            <w:proofErr w:type="spellStart"/>
            <w:r w:rsidRPr="00E43A6D">
              <w:rPr>
                <w:lang w:val="en-US"/>
              </w:rPr>
              <w:t>suppl</w:t>
            </w:r>
            <w:proofErr w:type="spellEnd"/>
            <w:r w:rsidRPr="00E43A6D">
              <w:rPr>
                <w:lang w:val="en-US"/>
              </w:rPr>
              <w:t xml:space="preserve">; </w:t>
            </w:r>
            <w:proofErr w:type="spellStart"/>
            <w:r w:rsidRPr="00E43A6D">
              <w:rPr>
                <w:lang w:val="en-US"/>
              </w:rPr>
              <w:t>abstr</w:t>
            </w:r>
            <w:proofErr w:type="spellEnd"/>
            <w:r w:rsidRPr="00E43A6D">
              <w:rPr>
                <w:lang w:val="en-US"/>
              </w:rPr>
              <w:t xml:space="preserve"> 10034)</w:t>
            </w:r>
            <w:r w:rsidR="00CB08E2">
              <w:rPr>
                <w:lang w:val="en-US"/>
              </w:rPr>
              <w:t>.</w:t>
            </w:r>
          </w:p>
          <w:p w14:paraId="3A76D09E" w14:textId="77777777" w:rsidR="00EA73D0" w:rsidRDefault="00E43A6D" w:rsidP="00D76ABC">
            <w:pPr>
              <w:tabs>
                <w:tab w:val="left" w:pos="129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(5) </w:t>
            </w:r>
            <w:r w:rsidR="00700400" w:rsidRPr="00E43A6D">
              <w:rPr>
                <w:lang w:val="en-US"/>
              </w:rPr>
              <w:t>Siebert N.</w:t>
            </w:r>
            <w:r w:rsidR="00CB08E2">
              <w:rPr>
                <w:lang w:val="en-US"/>
              </w:rPr>
              <w:t>,</w:t>
            </w:r>
            <w:r w:rsidR="00700400" w:rsidRPr="00E43A6D">
              <w:rPr>
                <w:lang w:val="en-US"/>
              </w:rPr>
              <w:t xml:space="preserve"> et al. </w:t>
            </w:r>
            <w:r w:rsidR="00C52D5A" w:rsidRPr="00E43A6D">
              <w:rPr>
                <w:lang w:val="en-US"/>
              </w:rPr>
              <w:t>Pharmacokinetics and pharmacodynamics of ch14.18/CHO in relapsed/refractory high-risk neuroblastoma patients treated by long-term infusion in combination with IL-2</w:t>
            </w:r>
            <w:r w:rsidR="00CB08E2">
              <w:rPr>
                <w:lang w:val="en-US"/>
              </w:rPr>
              <w:t>.</w:t>
            </w:r>
            <w:r w:rsidR="00C52D5A" w:rsidRPr="00E43A6D">
              <w:rPr>
                <w:lang w:val="en-US"/>
              </w:rPr>
              <w:t xml:space="preserve"> </w:t>
            </w:r>
            <w:r w:rsidR="00700400" w:rsidRPr="00E43A6D">
              <w:rPr>
                <w:lang w:val="en-US"/>
              </w:rPr>
              <w:t>MABS 2016</w:t>
            </w:r>
            <w:r w:rsidR="00CB08E2">
              <w:rPr>
                <w:lang w:val="en-US"/>
              </w:rPr>
              <w:t xml:space="preserve">. </w:t>
            </w:r>
            <w:r w:rsidR="00700400" w:rsidRPr="00E43A6D">
              <w:rPr>
                <w:lang w:val="en-US"/>
              </w:rPr>
              <w:t>8: 604–616</w:t>
            </w:r>
            <w:r w:rsidR="00CB08E2">
              <w:rPr>
                <w:lang w:val="en-US"/>
              </w:rPr>
              <w:t>.</w:t>
            </w:r>
          </w:p>
          <w:p w14:paraId="7B2E14B0" w14:textId="77777777" w:rsidR="00471879" w:rsidRPr="005D3D8D" w:rsidRDefault="00745B2F" w:rsidP="00745B2F">
            <w:pPr>
              <w:tabs>
                <w:tab w:val="left" w:pos="1290"/>
              </w:tabs>
              <w:jc w:val="both"/>
            </w:pPr>
            <w:r w:rsidRPr="007D5647">
              <w:rPr>
                <w:lang w:val="en-US"/>
              </w:rPr>
              <w:t xml:space="preserve">(6) </w:t>
            </w:r>
            <w:proofErr w:type="spellStart"/>
            <w:r w:rsidRPr="007D5647">
              <w:rPr>
                <w:lang w:val="en-US"/>
              </w:rPr>
              <w:t>Dinutuximab</w:t>
            </w:r>
            <w:proofErr w:type="spellEnd"/>
            <w:r w:rsidRPr="007D5647">
              <w:rPr>
                <w:lang w:val="en-US"/>
              </w:rPr>
              <w:t xml:space="preserve"> beta. EMA Public Assessment Report</w:t>
            </w:r>
            <w:r w:rsidR="00195E19" w:rsidRPr="007D5647">
              <w:rPr>
                <w:lang w:val="en-US"/>
              </w:rPr>
              <w:t>. 15.05.2017</w:t>
            </w:r>
            <w:r w:rsidRPr="007D5647">
              <w:rPr>
                <w:lang w:val="en-US"/>
              </w:rPr>
              <w:t xml:space="preserve"> </w:t>
            </w:r>
            <w:r w:rsidR="007D5647">
              <w:rPr>
                <w:lang w:val="en-US"/>
              </w:rPr>
              <w:t xml:space="preserve">URL: </w:t>
            </w:r>
            <w:r w:rsidR="00C606FD">
              <w:fldChar w:fldCharType="begin"/>
            </w:r>
            <w:r w:rsidR="00C606FD" w:rsidRPr="00D91817">
              <w:rPr>
                <w:lang w:val="en-US"/>
                <w:rPrChange w:id="1" w:author="Kontny, Udo" w:date="2017-10-10T17:38:00Z">
                  <w:rPr/>
                </w:rPrChange>
              </w:rPr>
              <w:instrText xml:space="preserve"> HYPERLINK "http://www.ema.europa.eu/docs/en_GB/document_library/EPAR_-_Public_assessment_report/human/003918/WC500227726.pdf" </w:instrText>
            </w:r>
            <w:r w:rsidR="00C606FD">
              <w:fldChar w:fldCharType="separate"/>
            </w:r>
            <w:r w:rsidR="007D5647" w:rsidRPr="007D5647">
              <w:rPr>
                <w:rStyle w:val="Hyperlink"/>
                <w:lang w:val="en-US"/>
              </w:rPr>
              <w:t>http://www.ema.europa.eu/docs/en_GB/document_library/EPAR_-_Public_assessment_report/human/003918/WC500227726.pdf</w:t>
            </w:r>
            <w:r w:rsidR="00C606FD">
              <w:rPr>
                <w:rStyle w:val="Hyperlink"/>
                <w:lang w:val="en-US"/>
              </w:rPr>
              <w:fldChar w:fldCharType="end"/>
            </w:r>
            <w:r w:rsidR="007D5647" w:rsidRPr="007D5647">
              <w:rPr>
                <w:lang w:val="en-US"/>
              </w:rPr>
              <w:t xml:space="preserve">. </w:t>
            </w:r>
            <w:r w:rsidR="007D5647" w:rsidRPr="005D3D8D">
              <w:t>Letzter Zugriff 31.07.2017</w:t>
            </w:r>
          </w:p>
          <w:p w14:paraId="31DC953B" w14:textId="77777777" w:rsidR="007D5647" w:rsidRPr="00ED7D52" w:rsidRDefault="007D5647" w:rsidP="00745B2F">
            <w:pPr>
              <w:tabs>
                <w:tab w:val="left" w:pos="1290"/>
              </w:tabs>
              <w:jc w:val="both"/>
            </w:pPr>
            <w:r w:rsidRPr="005D3D8D">
              <w:t>(7)</w:t>
            </w:r>
            <w:r w:rsidR="00235535">
              <w:t xml:space="preserve"> </w:t>
            </w:r>
            <w:proofErr w:type="spellStart"/>
            <w:r w:rsidR="00235535">
              <w:t>Dinutuximab</w:t>
            </w:r>
            <w:proofErr w:type="spellEnd"/>
            <w:r w:rsidR="00235535">
              <w:t xml:space="preserve"> </w:t>
            </w:r>
            <w:proofErr w:type="spellStart"/>
            <w:r w:rsidR="00235535">
              <w:t>beta</w:t>
            </w:r>
            <w:proofErr w:type="spellEnd"/>
            <w:r w:rsidR="00235535">
              <w:t xml:space="preserve">. </w:t>
            </w:r>
            <w:proofErr w:type="spellStart"/>
            <w:r w:rsidR="00235535">
              <w:t>Product</w:t>
            </w:r>
            <w:proofErr w:type="spellEnd"/>
            <w:r w:rsidR="00235535">
              <w:t xml:space="preserve"> Information German. </w:t>
            </w:r>
            <w:r w:rsidR="00235535" w:rsidRPr="004F7AFA">
              <w:t xml:space="preserve">15.05.2017. URL: </w:t>
            </w:r>
            <w:r w:rsidR="005D3D8D" w:rsidRPr="004F7AFA">
              <w:t xml:space="preserve"> </w:t>
            </w:r>
            <w:hyperlink r:id="rId9" w:history="1">
              <w:r w:rsidR="00235535" w:rsidRPr="004F7AFA">
                <w:rPr>
                  <w:rStyle w:val="Hyperlink"/>
                </w:rPr>
                <w:t>http://www.ema.europa.eu/docs/de_DE/document_library/EPAR_-_Product_Information/human/003918/WC500227724.pdf</w:t>
              </w:r>
            </w:hyperlink>
            <w:r w:rsidR="00235535" w:rsidRPr="004F7AFA">
              <w:t xml:space="preserve">. </w:t>
            </w:r>
            <w:r w:rsidR="00235535" w:rsidRPr="00ED7D52">
              <w:t>Letzter Zugriff 31.07.2017</w:t>
            </w:r>
          </w:p>
          <w:p w14:paraId="7655C47C" w14:textId="77777777" w:rsidR="00F40B65" w:rsidRPr="00ED7D52" w:rsidRDefault="00F40B65" w:rsidP="00D76ABC">
            <w:pPr>
              <w:tabs>
                <w:tab w:val="left" w:pos="1290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1912381B" w14:textId="0FE0F65F" w:rsidR="008E6675" w:rsidRPr="00ED7D52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8B12BBB" w14:textId="77777777" w:rsidTr="005C48F3">
        <w:tc>
          <w:tcPr>
            <w:tcW w:w="9212" w:type="dxa"/>
          </w:tcPr>
          <w:p w14:paraId="6AFF216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1.4 Mit welchem OPS wird die Methode verschlüsselt?</w:t>
            </w:r>
          </w:p>
        </w:tc>
      </w:tr>
      <w:tr w:rsidR="008E6675" w:rsidRPr="005638EB" w14:paraId="11C5E346" w14:textId="77777777" w:rsidTr="005C48F3">
        <w:tc>
          <w:tcPr>
            <w:tcW w:w="9212" w:type="dxa"/>
          </w:tcPr>
          <w:p w14:paraId="1FE79182" w14:textId="77777777" w:rsidR="006F255E" w:rsidRPr="005638EB" w:rsidRDefault="00FC4757" w:rsidP="00D76ABC">
            <w:pPr>
              <w:jc w:val="both"/>
              <w:rPr>
                <w:rFonts w:ascii="Arial Narrow" w:hAnsi="Arial Narrow"/>
              </w:rPr>
            </w:pPr>
            <w:r>
              <w:t>Ein spezifischer OPS-</w:t>
            </w:r>
            <w:r w:rsidR="005C48F3" w:rsidRPr="00F31FF7">
              <w:t xml:space="preserve">Code für </w:t>
            </w:r>
            <w:proofErr w:type="spellStart"/>
            <w:r w:rsidR="005C48F3" w:rsidRPr="00F31FF7">
              <w:t>Dinutuximab</w:t>
            </w:r>
            <w:proofErr w:type="spellEnd"/>
            <w:r w:rsidR="005C48F3" w:rsidRPr="00F31FF7">
              <w:t xml:space="preserve"> </w:t>
            </w:r>
            <w:proofErr w:type="spellStart"/>
            <w:r w:rsidR="005C48F3">
              <w:t>beta</w:t>
            </w:r>
            <w:proofErr w:type="spellEnd"/>
            <w:r w:rsidR="005C48F3">
              <w:t xml:space="preserve"> </w:t>
            </w:r>
            <w:r w:rsidR="005C48F3" w:rsidRPr="00F31FF7">
              <w:t xml:space="preserve">existiert nicht. Therapien mit </w:t>
            </w:r>
            <w:proofErr w:type="spellStart"/>
            <w:r w:rsidR="005C48F3" w:rsidRPr="00F31FF7">
              <w:t>monoklona</w:t>
            </w:r>
            <w:r>
              <w:t>len</w:t>
            </w:r>
            <w:proofErr w:type="spellEnd"/>
            <w:r>
              <w:t xml:space="preserve"> Antikörpern werden nach OPS-</w:t>
            </w:r>
            <w:r w:rsidR="005C48F3" w:rsidRPr="00F31FF7">
              <w:t>Version 201</w:t>
            </w:r>
            <w:r w:rsidR="00E3362C">
              <w:t>7</w:t>
            </w:r>
            <w:r>
              <w:t xml:space="preserve"> unter der OPS-</w:t>
            </w:r>
            <w:r w:rsidR="005C48F3" w:rsidRPr="00F31FF7">
              <w:t>Gruppe 8-54 kodiert.</w:t>
            </w:r>
          </w:p>
        </w:tc>
      </w:tr>
    </w:tbl>
    <w:p w14:paraId="6FACACFF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526CABF" w14:textId="77777777" w:rsidTr="00756BBA">
        <w:tc>
          <w:tcPr>
            <w:tcW w:w="9212" w:type="dxa"/>
          </w:tcPr>
          <w:p w14:paraId="4E75B829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2.1 Bei welchen Patienten wird die Methode angewandt (Indikation)?</w:t>
            </w:r>
          </w:p>
        </w:tc>
      </w:tr>
      <w:tr w:rsidR="008E6675" w:rsidRPr="00E3362C" w14:paraId="7072D7E8" w14:textId="77777777" w:rsidTr="00756BBA">
        <w:tc>
          <w:tcPr>
            <w:tcW w:w="9212" w:type="dxa"/>
          </w:tcPr>
          <w:p w14:paraId="0C3CD0AA" w14:textId="7DF2A501" w:rsidR="00616FE2" w:rsidRDefault="00616FE2" w:rsidP="00616FE2">
            <w:pPr>
              <w:jc w:val="both"/>
            </w:pPr>
            <w:r>
              <w:t xml:space="preserve">Laut Fachinformation wird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angewendet für die Behandlung von </w:t>
            </w:r>
            <w:r w:rsidR="0050713A">
              <w:t xml:space="preserve">einem </w:t>
            </w:r>
            <w:r>
              <w:t xml:space="preserve">Hochrisiko-Neuroblastom bei Patienten im Alter von 12 Monaten und älter, die zuvor eine Induktions-Chemotherapie erhalten und zumindest eine partielle Remission erreicht haben, gefolgt von </w:t>
            </w:r>
            <w:proofErr w:type="spellStart"/>
            <w:r>
              <w:t>myeloablativer</w:t>
            </w:r>
            <w:proofErr w:type="spellEnd"/>
            <w:r>
              <w:t xml:space="preserve"> Therapie und Stammzelltransplantation. Außerdem wird es angewendet für Patienten mit rezidivierten oder refraktären Neuroblastomen mit oder ohne Residualerkrankung in der Anamnese. Vor der Behandlung eines rezidivierten Neuroblastoms sind </w:t>
            </w:r>
            <w:r w:rsidR="00ED7D52">
              <w:t>jegliche aktiv progredienten Erkrankungen</w:t>
            </w:r>
            <w:r>
              <w:t xml:space="preserve"> mithilfe anderer geeigneter Maßnahmen zu stabilisieren.</w:t>
            </w:r>
          </w:p>
          <w:p w14:paraId="141DC3FB" w14:textId="77777777" w:rsidR="00616FE2" w:rsidRDefault="00616FE2" w:rsidP="00616FE2">
            <w:pPr>
              <w:jc w:val="both"/>
            </w:pPr>
            <w:r>
              <w:t xml:space="preserve">Bei Patienten mit einer rezidivierten/refraktären Erkrankung in der Anamnese sowie bei Patienten, bei denen nach der Erstlinientherapie kein vollständiges Ansprechen erreicht wurde, sollte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</w:t>
            </w:r>
            <w:proofErr w:type="spellStart"/>
            <w:r>
              <w:t>Apeiron</w:t>
            </w:r>
            <w:proofErr w:type="spellEnd"/>
            <w:r>
              <w:t xml:space="preserve"> mit Interleukin-2 (IL-2) kombiniert werden.</w:t>
            </w:r>
          </w:p>
          <w:p w14:paraId="54F42CD4" w14:textId="77777777" w:rsidR="00616FE2" w:rsidRDefault="00616FE2" w:rsidP="00D76ABC">
            <w:pPr>
              <w:jc w:val="both"/>
            </w:pPr>
          </w:p>
          <w:p w14:paraId="3668A725" w14:textId="1DD77A9F" w:rsidR="00795478" w:rsidRDefault="005B2274" w:rsidP="00D76ABC">
            <w:pPr>
              <w:jc w:val="both"/>
            </w:pPr>
            <w:r w:rsidRPr="005B2274">
              <w:t xml:space="preserve">Die Neuroblastom-Inzidenz beträgt 13,5 neue Fälle pro Jahr pro Million Kinder unter 15 Jahren beziehungsweise etwa 150 neue Fälle pro Jahr in Deutschland </w:t>
            </w:r>
            <w:r w:rsidR="005F1A25">
              <w:t>(1)</w:t>
            </w:r>
            <w:r w:rsidR="00465F7E">
              <w:t xml:space="preserve">. </w:t>
            </w:r>
            <w:r w:rsidR="005F1A25">
              <w:t xml:space="preserve">Nach der </w:t>
            </w:r>
            <w:r w:rsidR="005F1A25" w:rsidRPr="005F1A25">
              <w:t xml:space="preserve">The International </w:t>
            </w:r>
            <w:proofErr w:type="spellStart"/>
            <w:r w:rsidR="005F1A25" w:rsidRPr="005F1A25">
              <w:t>Neuroblastoma</w:t>
            </w:r>
            <w:proofErr w:type="spellEnd"/>
            <w:r w:rsidR="005F1A25" w:rsidRPr="005F1A25">
              <w:t xml:space="preserve"> </w:t>
            </w:r>
            <w:proofErr w:type="spellStart"/>
            <w:r w:rsidR="005F1A25" w:rsidRPr="005F1A25">
              <w:t>Risk</w:t>
            </w:r>
            <w:proofErr w:type="spellEnd"/>
            <w:r w:rsidR="005F1A25" w:rsidRPr="005F1A25">
              <w:t xml:space="preserve"> Group (INRG)</w:t>
            </w:r>
            <w:r w:rsidR="005F1A25">
              <w:t xml:space="preserve"> werden Patienten </w:t>
            </w:r>
            <w:r w:rsidR="0050713A">
              <w:t xml:space="preserve">mit einem Neuroblastom in </w:t>
            </w:r>
            <w:r w:rsidR="00A36CCF">
              <w:t xml:space="preserve">Hochrisiko-, mittlere Risiko- bzw. </w:t>
            </w:r>
            <w:r w:rsidR="000C4DE9">
              <w:t xml:space="preserve">niedriges und </w:t>
            </w:r>
            <w:r w:rsidR="00A36CCF">
              <w:t>sehr niedriges Risiko</w:t>
            </w:r>
            <w:r w:rsidR="00A36CCF" w:rsidRPr="00A36CCF">
              <w:t xml:space="preserve">-Gruppen </w:t>
            </w:r>
            <w:r w:rsidR="005F1A25">
              <w:t>klassifiziert (</w:t>
            </w:r>
            <w:r w:rsidR="00A36CCF">
              <w:t>2</w:t>
            </w:r>
            <w:r w:rsidR="005F1A25">
              <w:t>)</w:t>
            </w:r>
            <w:r w:rsidR="00A36CCF">
              <w:t xml:space="preserve"> </w:t>
            </w:r>
            <w:r w:rsidR="00A36CCF" w:rsidRPr="00465F7E">
              <w:t>Die Risikostratifikation erfolgt anhand prognostischer Faktoren (Stadium, Alter, molekulare Marker).</w:t>
            </w:r>
            <w:r w:rsidR="00A36CCF">
              <w:t xml:space="preserve"> </w:t>
            </w:r>
            <w:r w:rsidR="001733F9">
              <w:t>Beim Neurobl</w:t>
            </w:r>
            <w:r w:rsidR="005F73C5">
              <w:t>a</w:t>
            </w:r>
            <w:r w:rsidR="001733F9">
              <w:t xml:space="preserve">stom </w:t>
            </w:r>
            <w:r w:rsidR="000C4DE9">
              <w:t>b</w:t>
            </w:r>
            <w:r w:rsidR="00467DFB">
              <w:t xml:space="preserve">ezeichnet </w:t>
            </w:r>
            <w:r w:rsidR="000C4DE9">
              <w:t>m</w:t>
            </w:r>
            <w:r w:rsidR="00467DFB">
              <w:t>an</w:t>
            </w:r>
            <w:r w:rsidR="000C4DE9">
              <w:t xml:space="preserve"> als </w:t>
            </w:r>
            <w:r w:rsidR="00DE68B1" w:rsidRPr="00F31FF7">
              <w:t>Hochrisiko</w:t>
            </w:r>
            <w:r w:rsidR="000C4DE9">
              <w:t>gruppe</w:t>
            </w:r>
            <w:r w:rsidR="001733F9">
              <w:t xml:space="preserve"> </w:t>
            </w:r>
            <w:r w:rsidR="00DE68B1" w:rsidRPr="00F31FF7">
              <w:t xml:space="preserve">Patienten mit </w:t>
            </w:r>
            <w:r w:rsidR="000C4DE9">
              <w:t xml:space="preserve">einem </w:t>
            </w:r>
            <w:r w:rsidR="00DE68B1" w:rsidRPr="00F31FF7">
              <w:t xml:space="preserve">Neuroblastom des Stadiums </w:t>
            </w:r>
            <w:r w:rsidR="000C4DE9">
              <w:t>IV im Alter</w:t>
            </w:r>
            <w:r w:rsidR="00DE68B1" w:rsidRPr="00F31FF7">
              <w:t xml:space="preserve"> über 18 Monate bei Diagnose und </w:t>
            </w:r>
            <w:r w:rsidR="00614662">
              <w:t xml:space="preserve">alle Patienten, die unabhängig von Stadium und Alter </w:t>
            </w:r>
            <w:r w:rsidR="005F73C5">
              <w:t>eine</w:t>
            </w:r>
            <w:r w:rsidR="001733F9">
              <w:t xml:space="preserve"> </w:t>
            </w:r>
            <w:r w:rsidR="00DE68B1" w:rsidRPr="00F31FF7">
              <w:t xml:space="preserve">Amplifikation des </w:t>
            </w:r>
            <w:proofErr w:type="spellStart"/>
            <w:r w:rsidR="001733F9">
              <w:t>Onkogens</w:t>
            </w:r>
            <w:proofErr w:type="spellEnd"/>
            <w:r w:rsidR="001733F9">
              <w:t xml:space="preserve"> </w:t>
            </w:r>
            <w:r w:rsidR="00DE68B1" w:rsidRPr="00F31FF7">
              <w:t>MYCN</w:t>
            </w:r>
            <w:r w:rsidR="001733F9">
              <w:t xml:space="preserve"> </w:t>
            </w:r>
            <w:r w:rsidR="006509CB">
              <w:t>aufweisen</w:t>
            </w:r>
            <w:r w:rsidR="00DE68B1" w:rsidRPr="00F31FF7">
              <w:t xml:space="preserve"> </w:t>
            </w:r>
            <w:r w:rsidR="00A36CCF">
              <w:t>(3</w:t>
            </w:r>
            <w:r w:rsidR="00756BBA">
              <w:t>)</w:t>
            </w:r>
            <w:r w:rsidR="001733F9">
              <w:t xml:space="preserve">. In </w:t>
            </w:r>
            <w:r w:rsidR="00DE68B1" w:rsidRPr="00F31FF7">
              <w:t xml:space="preserve">Deutschland sind dies etwa </w:t>
            </w:r>
            <w:r w:rsidR="00465F7E" w:rsidRPr="00465F7E">
              <w:t>52-54</w:t>
            </w:r>
            <w:r w:rsidR="00465F7E">
              <w:t xml:space="preserve"> </w:t>
            </w:r>
            <w:r w:rsidR="00467DFB">
              <w:t xml:space="preserve">aller neu diagnostizierten Patienten </w:t>
            </w:r>
            <w:r w:rsidR="00465F7E" w:rsidRPr="00465F7E">
              <w:t>(</w:t>
            </w:r>
            <w:r w:rsidR="00467DFB">
              <w:t>=</w:t>
            </w:r>
            <w:r w:rsidR="00465F7E" w:rsidRPr="00465F7E">
              <w:t>36%</w:t>
            </w:r>
            <w:r w:rsidR="00465F7E">
              <w:t xml:space="preserve"> alle</w:t>
            </w:r>
            <w:r w:rsidR="00467DFB">
              <w:t>r</w:t>
            </w:r>
            <w:r w:rsidR="00465F7E">
              <w:t xml:space="preserve"> Fälle</w:t>
            </w:r>
            <w:r w:rsidR="00465F7E" w:rsidRPr="00465F7E">
              <w:t>)</w:t>
            </w:r>
            <w:r w:rsidR="00465F7E">
              <w:t xml:space="preserve"> </w:t>
            </w:r>
            <w:r w:rsidR="00795478">
              <w:t>pro Jahr</w:t>
            </w:r>
            <w:r w:rsidR="00A36CCF">
              <w:t xml:space="preserve"> (4</w:t>
            </w:r>
            <w:r w:rsidR="00465F7E">
              <w:t>)</w:t>
            </w:r>
            <w:r w:rsidR="00795478">
              <w:t xml:space="preserve">. Die </w:t>
            </w:r>
            <w:r w:rsidR="005F73C5">
              <w:t>5</w:t>
            </w:r>
            <w:r w:rsidR="00467DFB">
              <w:t>-</w:t>
            </w:r>
            <w:r w:rsidR="005F73C5">
              <w:t>Jahres-</w:t>
            </w:r>
            <w:r w:rsidR="00795478">
              <w:t>Überlebens</w:t>
            </w:r>
            <w:r w:rsidR="005F73C5">
              <w:t>w</w:t>
            </w:r>
            <w:r w:rsidR="00795478">
              <w:t>ahrscheinlichkeit dieser Patientengruppe liegt bei 44%.</w:t>
            </w:r>
            <w:r w:rsidR="0094002E">
              <w:t xml:space="preserve"> </w:t>
            </w:r>
            <w:r w:rsidR="00795478">
              <w:t xml:space="preserve">Leider </w:t>
            </w:r>
            <w:r w:rsidR="00795478" w:rsidRPr="00F31FF7">
              <w:t>erleiden mehr als die Hälfte der Patienten mit (Hochrisiko-)Neuroblastom einen Rückfall. Die Überlebenschance für die Rezidiv</w:t>
            </w:r>
            <w:r w:rsidR="00E335F2">
              <w:t>-P</w:t>
            </w:r>
            <w:r w:rsidR="007B2923">
              <w:t>atientengruppe liegt bei nur 10</w:t>
            </w:r>
            <w:r w:rsidR="00795478" w:rsidRPr="00F31FF7">
              <w:t>%</w:t>
            </w:r>
            <w:r w:rsidR="00467DFB">
              <w:t xml:space="preserve"> nach 5 Jahren</w:t>
            </w:r>
            <w:r w:rsidR="00756BBA">
              <w:rPr>
                <w:vertAlign w:val="superscript"/>
              </w:rPr>
              <w:t xml:space="preserve"> </w:t>
            </w:r>
            <w:r w:rsidR="00A36CCF">
              <w:t>(5</w:t>
            </w:r>
            <w:r w:rsidR="00756BBA">
              <w:t>)</w:t>
            </w:r>
            <w:r w:rsidR="007B2923">
              <w:t>.</w:t>
            </w:r>
            <w:r w:rsidR="00E335F2">
              <w:t xml:space="preserve"> </w:t>
            </w:r>
          </w:p>
          <w:p w14:paraId="67E10005" w14:textId="77777777" w:rsidR="00A54C02" w:rsidRDefault="00A54C02" w:rsidP="00D76ABC">
            <w:pPr>
              <w:jc w:val="both"/>
            </w:pPr>
          </w:p>
          <w:p w14:paraId="3DCAA7E4" w14:textId="68B5C683" w:rsidR="0098459E" w:rsidRDefault="00465F7E" w:rsidP="00D76ABC">
            <w:pPr>
              <w:jc w:val="both"/>
            </w:pPr>
            <w:r w:rsidRPr="00465F7E">
              <w:t xml:space="preserve">Die Behandlung des Neuroblastoms ist risikoadaptiert und multimodal. </w:t>
            </w:r>
            <w:r w:rsidR="00795478" w:rsidRPr="00F31FF7">
              <w:t xml:space="preserve">Die Behandlung </w:t>
            </w:r>
            <w:r>
              <w:t xml:space="preserve">von Hochrisiko Patienten besteht aus </w:t>
            </w:r>
            <w:r w:rsidR="00795478" w:rsidRPr="00F31FF7">
              <w:t xml:space="preserve">drei </w:t>
            </w:r>
            <w:r w:rsidR="00795478">
              <w:t>Abschnitte</w:t>
            </w:r>
            <w:r w:rsidR="0098459E">
              <w:t>n</w:t>
            </w:r>
            <w:r w:rsidR="00795478" w:rsidRPr="00F31FF7">
              <w:t xml:space="preserve">: Induktion, Konsolidierung und Erhaltungstherapie. </w:t>
            </w:r>
            <w:r w:rsidR="00C473A1" w:rsidRPr="00C473A1">
              <w:t>Die aktuelle Therapieempfehlung der Gesellschaft für Pädiatrische Onkologie und</w:t>
            </w:r>
            <w:r w:rsidR="00C473A1">
              <w:t xml:space="preserve"> Hämatologie (GPOH) spricht </w:t>
            </w:r>
            <w:r w:rsidR="00C473A1" w:rsidRPr="00C473A1">
              <w:t xml:space="preserve">für den Einsatz von Anti-GD2 Antikörpern </w:t>
            </w:r>
            <w:r w:rsidR="00C473A1">
              <w:t>i</w:t>
            </w:r>
            <w:r w:rsidR="00795478" w:rsidRPr="00F31FF7">
              <w:t>n der Erhaltungsphase</w:t>
            </w:r>
            <w:r w:rsidR="000735BE">
              <w:t>,</w:t>
            </w:r>
            <w:r w:rsidR="00795478" w:rsidRPr="00F31FF7">
              <w:t xml:space="preserve"> </w:t>
            </w:r>
            <w:r w:rsidR="00C473A1" w:rsidRPr="00C473A1">
              <w:t>um die Residualerkrankung (minimal re</w:t>
            </w:r>
            <w:r w:rsidR="00A36CCF">
              <w:t xml:space="preserve">sidual </w:t>
            </w:r>
            <w:proofErr w:type="spellStart"/>
            <w:r w:rsidR="00A36CCF">
              <w:t>disease</w:t>
            </w:r>
            <w:proofErr w:type="spellEnd"/>
            <w:r w:rsidR="00A36CCF">
              <w:t>) zu minimieren (6</w:t>
            </w:r>
            <w:r w:rsidR="00C473A1" w:rsidRPr="00C473A1">
              <w:t>)</w:t>
            </w:r>
          </w:p>
          <w:p w14:paraId="2297BB22" w14:textId="77777777" w:rsidR="00C473A1" w:rsidRDefault="00C473A1" w:rsidP="00D76ABC">
            <w:pPr>
              <w:jc w:val="both"/>
            </w:pPr>
          </w:p>
          <w:p w14:paraId="31F2D102" w14:textId="060E6AA6" w:rsidR="00795478" w:rsidRPr="00F31FF7" w:rsidRDefault="00756BBA" w:rsidP="00D76ABC">
            <w:pPr>
              <w:jc w:val="both"/>
            </w:pPr>
            <w:r>
              <w:lastRenderedPageBreak/>
              <w:t>Die Behandlung des Rezidivs erfolgt nach analogem Prinzip.</w:t>
            </w:r>
            <w:r w:rsidR="00E335F2">
              <w:t xml:space="preserve"> </w:t>
            </w:r>
            <w:r w:rsidR="00A54C02">
              <w:t>Von den 5</w:t>
            </w:r>
            <w:r w:rsidR="00CF031D">
              <w:t>2-54</w:t>
            </w:r>
            <w:r w:rsidR="00795478" w:rsidRPr="00F31FF7">
              <w:t xml:space="preserve"> Kindern in Deutschland m</w:t>
            </w:r>
            <w:r w:rsidR="00E335F2">
              <w:t>it einem Hochrisikoneuroblastom</w:t>
            </w:r>
            <w:r w:rsidR="00795478" w:rsidRPr="00F31FF7">
              <w:t xml:space="preserve"> </w:t>
            </w:r>
            <w:r w:rsidR="00795478">
              <w:t>kommen</w:t>
            </w:r>
            <w:r w:rsidR="00795478" w:rsidRPr="00F31FF7">
              <w:t xml:space="preserve"> </w:t>
            </w:r>
            <w:r w:rsidR="00CF031D">
              <w:t xml:space="preserve">schätzungsweise </w:t>
            </w:r>
            <w:r w:rsidR="00795478">
              <w:t xml:space="preserve">für </w:t>
            </w:r>
            <w:r w:rsidR="00795478" w:rsidRPr="00F31FF7">
              <w:t>eine Antikörpertherapie</w:t>
            </w:r>
            <w:r w:rsidR="000735BE">
              <w:t xml:space="preserve"> 34-36 Patienten</w:t>
            </w:r>
            <w:r w:rsidR="00795478">
              <w:t xml:space="preserve"> </w:t>
            </w:r>
            <w:r w:rsidR="00CF031D">
              <w:t>in der Erstbehandlung und 22-23</w:t>
            </w:r>
            <w:r w:rsidR="000735BE">
              <w:t xml:space="preserve"> Patienten</w:t>
            </w:r>
            <w:r>
              <w:t xml:space="preserve"> in der Rezidiv</w:t>
            </w:r>
            <w:r w:rsidR="00ED7D52">
              <w:t xml:space="preserve"> oder Refraktäre T</w:t>
            </w:r>
            <w:r>
              <w:t xml:space="preserve">herapie </w:t>
            </w:r>
            <w:r w:rsidR="00795478">
              <w:t>in Frage</w:t>
            </w:r>
            <w:r w:rsidR="0094002E">
              <w:t>.</w:t>
            </w:r>
          </w:p>
          <w:p w14:paraId="4B490268" w14:textId="77777777" w:rsidR="00756BBA" w:rsidRDefault="00AB4290" w:rsidP="00D76ABC">
            <w:pPr>
              <w:jc w:val="both"/>
            </w:pPr>
            <w:r w:rsidRPr="00AB4290">
              <w:t>Die Substanz</w:t>
            </w:r>
            <w:r w:rsidR="00756BBA">
              <w:t xml:space="preserve"> </w:t>
            </w:r>
            <w:proofErr w:type="spellStart"/>
            <w:r w:rsidR="00CB0C8A">
              <w:t>D</w:t>
            </w:r>
            <w:r w:rsidR="00756BBA">
              <w:t>inutuximab</w:t>
            </w:r>
            <w:proofErr w:type="spellEnd"/>
            <w:r w:rsidR="00756BBA">
              <w:t xml:space="preserve"> </w:t>
            </w:r>
            <w:proofErr w:type="spellStart"/>
            <w:r w:rsidR="00756BBA">
              <w:t>beta</w:t>
            </w:r>
            <w:proofErr w:type="spellEnd"/>
            <w:r w:rsidRPr="00AB4290">
              <w:t xml:space="preserve"> ist </w:t>
            </w:r>
            <w:r w:rsidR="00CF031D">
              <w:t xml:space="preserve">seit 08.05.2017 in Europa zugelassen. </w:t>
            </w:r>
            <w:proofErr w:type="spellStart"/>
            <w:r w:rsidR="00B77B6C" w:rsidRPr="00B77B6C">
              <w:t>Dinutuximab</w:t>
            </w:r>
            <w:proofErr w:type="spellEnd"/>
            <w:r w:rsidR="00B77B6C" w:rsidRPr="00B77B6C">
              <w:t xml:space="preserve"> </w:t>
            </w:r>
            <w:proofErr w:type="spellStart"/>
            <w:r w:rsidR="00B77B6C" w:rsidRPr="00B77B6C">
              <w:t>beta</w:t>
            </w:r>
            <w:proofErr w:type="spellEnd"/>
            <w:r w:rsidR="00B77B6C" w:rsidRPr="00B77B6C">
              <w:t xml:space="preserve"> stellt die einzige in Europa zugelassene Anti-GD2-Immuntherapie dar, die auf diese verheerende Krankheit zugeschnitten ist und die unerfüllte Notwendigkeit der Verbesserung der Überlebenschancen dieser anfälligen Patientenpopulation angeht.</w:t>
            </w:r>
          </w:p>
          <w:p w14:paraId="76450D1C" w14:textId="77777777" w:rsidR="008763C0" w:rsidRDefault="008763C0" w:rsidP="00D76ABC">
            <w:pPr>
              <w:rPr>
                <w:rFonts w:ascii="Arial Narrow" w:hAnsi="Arial Narrow"/>
                <w:b/>
              </w:rPr>
            </w:pPr>
          </w:p>
          <w:p w14:paraId="4AEE30F7" w14:textId="77777777" w:rsidR="00756BBA" w:rsidRPr="005F73C5" w:rsidRDefault="00D76ABC" w:rsidP="00D76ABC">
            <w:pPr>
              <w:rPr>
                <w:lang w:val="de-AT"/>
              </w:rPr>
            </w:pPr>
            <w:r>
              <w:rPr>
                <w:rFonts w:ascii="Arial Narrow" w:hAnsi="Arial Narrow"/>
                <w:b/>
              </w:rPr>
              <w:t>Literatur</w:t>
            </w:r>
          </w:p>
          <w:p w14:paraId="2ED93DC3" w14:textId="0FB68903" w:rsidR="00756BBA" w:rsidRDefault="00756BBA" w:rsidP="00D76ABC">
            <w:pPr>
              <w:jc w:val="both"/>
            </w:pPr>
            <w:r>
              <w:t>(1)</w:t>
            </w:r>
            <w:r w:rsidRPr="002A3A48">
              <w:t xml:space="preserve"> Deutsch</w:t>
            </w:r>
            <w:r w:rsidR="007D5647">
              <w:t>es Kinderkrebsregister (2016</w:t>
            </w:r>
            <w:r w:rsidR="005F73C5">
              <w:t xml:space="preserve">): </w:t>
            </w:r>
            <w:r w:rsidRPr="002A3A48">
              <w:t>Ja</w:t>
            </w:r>
            <w:r w:rsidR="007D5647">
              <w:t>hresbericht / Annual Report 2016 (S. 41</w:t>
            </w:r>
            <w:r w:rsidRPr="002A3A48">
              <w:t>). URL:</w:t>
            </w:r>
            <w:r w:rsidR="00465F7E">
              <w:t xml:space="preserve"> </w:t>
            </w:r>
            <w:hyperlink r:id="rId10" w:history="1">
              <w:r w:rsidR="00465F7E" w:rsidRPr="00A8490B">
                <w:rPr>
                  <w:rStyle w:val="Hyperlink"/>
                </w:rPr>
                <w:t>http://www.kinderkrebsregister.de/dkkr/ergebnisse/jahresberichte.html</w:t>
              </w:r>
            </w:hyperlink>
            <w:r w:rsidR="00465F7E">
              <w:t>. letzter Zugriff: 3</w:t>
            </w:r>
            <w:r w:rsidR="005F73C5">
              <w:t>1</w:t>
            </w:r>
            <w:r w:rsidR="00465F7E">
              <w:t>.07.2017</w:t>
            </w:r>
            <w:r w:rsidRPr="002A3A48">
              <w:t>.</w:t>
            </w:r>
          </w:p>
          <w:p w14:paraId="68B2E079" w14:textId="5A6277D6" w:rsidR="00A36CCF" w:rsidRPr="00A36CCF" w:rsidRDefault="00A36CCF" w:rsidP="00680BFD">
            <w:pPr>
              <w:jc w:val="both"/>
              <w:rPr>
                <w:lang w:val="en-US"/>
              </w:rPr>
            </w:pPr>
            <w:r w:rsidRPr="00A36CCF">
              <w:rPr>
                <w:lang w:val="en-US"/>
              </w:rPr>
              <w:t>(2)</w:t>
            </w:r>
            <w:r w:rsidR="00680BFD">
              <w:rPr>
                <w:lang w:val="en-US"/>
              </w:rPr>
              <w:t xml:space="preserve">   </w:t>
            </w:r>
            <w:proofErr w:type="spellStart"/>
            <w:r w:rsidR="00680BFD">
              <w:rPr>
                <w:lang w:val="en-US"/>
              </w:rPr>
              <w:t>Monclair</w:t>
            </w:r>
            <w:proofErr w:type="spellEnd"/>
            <w:r w:rsidR="00680BFD">
              <w:rPr>
                <w:lang w:val="en-US"/>
              </w:rPr>
              <w:t xml:space="preserve"> T et al. </w:t>
            </w:r>
            <w:r w:rsidR="00680BFD" w:rsidRPr="00680BFD">
              <w:rPr>
                <w:lang w:val="en-US"/>
              </w:rPr>
              <w:t>The International Neuroblastoma Risk Group (INRG)</w:t>
            </w:r>
            <w:r w:rsidR="00680BFD">
              <w:rPr>
                <w:lang w:val="en-US"/>
              </w:rPr>
              <w:t xml:space="preserve"> </w:t>
            </w:r>
            <w:r w:rsidR="00680BFD" w:rsidRPr="00680BFD">
              <w:rPr>
                <w:lang w:val="en-US"/>
              </w:rPr>
              <w:t>Staging System: An INRG Task Force Report</w:t>
            </w:r>
            <w:r w:rsidR="00680BFD">
              <w:rPr>
                <w:lang w:val="en-US"/>
              </w:rPr>
              <w:t>.</w:t>
            </w:r>
            <w:r w:rsidR="00680BFD" w:rsidRPr="00680BFD">
              <w:rPr>
                <w:lang w:val="en-US"/>
              </w:rPr>
              <w:t xml:space="preserve"> </w:t>
            </w:r>
            <w:r w:rsidR="00680BFD">
              <w:rPr>
                <w:lang w:val="en-US"/>
              </w:rPr>
              <w:t xml:space="preserve">J </w:t>
            </w:r>
            <w:proofErr w:type="spellStart"/>
            <w:r w:rsidR="00680BFD">
              <w:rPr>
                <w:lang w:val="en-US"/>
              </w:rPr>
              <w:t>Clin</w:t>
            </w:r>
            <w:proofErr w:type="spellEnd"/>
            <w:r w:rsidR="00680BFD">
              <w:rPr>
                <w:lang w:val="en-US"/>
              </w:rPr>
              <w:t xml:space="preserve"> </w:t>
            </w:r>
            <w:proofErr w:type="spellStart"/>
            <w:r w:rsidR="00680BFD">
              <w:rPr>
                <w:lang w:val="en-US"/>
              </w:rPr>
              <w:t>Oncol</w:t>
            </w:r>
            <w:proofErr w:type="spellEnd"/>
            <w:r w:rsidR="00680BFD">
              <w:rPr>
                <w:lang w:val="en-US"/>
              </w:rPr>
              <w:t xml:space="preserve"> </w:t>
            </w:r>
            <w:r w:rsidR="00680BFD" w:rsidRPr="00680BFD">
              <w:rPr>
                <w:lang w:val="en-US"/>
              </w:rPr>
              <w:t>2009 Jan 10;27(2):298-303</w:t>
            </w:r>
          </w:p>
          <w:p w14:paraId="5F2326FF" w14:textId="311E9A67" w:rsidR="00756BBA" w:rsidRDefault="00756BBA" w:rsidP="00D76ABC">
            <w:pPr>
              <w:jc w:val="both"/>
            </w:pPr>
            <w:r>
              <w:rPr>
                <w:lang w:val="en-US"/>
              </w:rPr>
              <w:t>(</w:t>
            </w:r>
            <w:r w:rsidR="00A36CCF">
              <w:rPr>
                <w:lang w:val="en-US"/>
              </w:rPr>
              <w:t>3</w:t>
            </w:r>
            <w:r>
              <w:rPr>
                <w:lang w:val="en-US"/>
              </w:rPr>
              <w:t xml:space="preserve">) </w:t>
            </w:r>
            <w:r w:rsidRPr="002A3A48">
              <w:rPr>
                <w:lang w:val="en-US"/>
              </w:rPr>
              <w:t xml:space="preserve">National Cancer Institute (2016): Stage Information for Neuroblastoma. </w:t>
            </w:r>
            <w:r w:rsidRPr="002A3A48">
              <w:t>URL: http://www.cancer.gov/types/neuroblastoma/hp/neuroblastoma-treatment-pdq#li</w:t>
            </w:r>
            <w:r w:rsidR="005F73C5">
              <w:t>nk/_830_toc, letzter Zugriff: 01</w:t>
            </w:r>
            <w:r w:rsidRPr="002A3A48">
              <w:t>.09.2016.</w:t>
            </w:r>
          </w:p>
          <w:p w14:paraId="629BF793" w14:textId="7DB03B15" w:rsidR="00465F7E" w:rsidRPr="004F7AFA" w:rsidRDefault="00A36CCF" w:rsidP="00D76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(4</w:t>
            </w:r>
            <w:r w:rsidR="00465F7E" w:rsidRPr="00465F7E">
              <w:rPr>
                <w:lang w:val="en-US"/>
              </w:rPr>
              <w:t xml:space="preserve">) </w:t>
            </w:r>
            <w:r w:rsidR="00C473A1">
              <w:rPr>
                <w:lang w:val="en-US"/>
              </w:rPr>
              <w:t xml:space="preserve">Cohn SL., et </w:t>
            </w:r>
            <w:r w:rsidR="00465F7E" w:rsidRPr="00465F7E">
              <w:rPr>
                <w:lang w:val="en-US"/>
              </w:rPr>
              <w:t xml:space="preserve">al. The International Neuroblastoma Risk Group (INRG) classification system: an INRG Task Force report. </w:t>
            </w:r>
            <w:r w:rsidR="00465F7E" w:rsidRPr="004F7AFA">
              <w:rPr>
                <w:lang w:val="en-US"/>
              </w:rPr>
              <w:t xml:space="preserve">J </w:t>
            </w:r>
            <w:proofErr w:type="spellStart"/>
            <w:r w:rsidR="00465F7E" w:rsidRPr="004F7AFA">
              <w:rPr>
                <w:lang w:val="en-US"/>
              </w:rPr>
              <w:t>Clin</w:t>
            </w:r>
            <w:proofErr w:type="spellEnd"/>
            <w:r w:rsidR="00465F7E" w:rsidRPr="004F7AFA">
              <w:rPr>
                <w:lang w:val="en-US"/>
              </w:rPr>
              <w:t xml:space="preserve"> </w:t>
            </w:r>
            <w:proofErr w:type="spellStart"/>
            <w:r w:rsidR="00465F7E" w:rsidRPr="004F7AFA">
              <w:rPr>
                <w:lang w:val="en-US"/>
              </w:rPr>
              <w:t>Oncol</w:t>
            </w:r>
            <w:proofErr w:type="spellEnd"/>
            <w:r w:rsidR="00465F7E" w:rsidRPr="004F7AFA">
              <w:rPr>
                <w:lang w:val="en-US"/>
              </w:rPr>
              <w:t>. 2009;27(2):289-97</w:t>
            </w:r>
          </w:p>
          <w:p w14:paraId="1475B4AC" w14:textId="0554EC01" w:rsidR="00756BBA" w:rsidRDefault="00A36CCF" w:rsidP="00E335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(5</w:t>
            </w:r>
            <w:r w:rsidR="00756BBA" w:rsidRPr="00BE504D">
              <w:rPr>
                <w:lang w:val="en-US"/>
              </w:rPr>
              <w:t xml:space="preserve">) </w:t>
            </w:r>
            <w:r w:rsidR="00E335F2" w:rsidRPr="00BE504D">
              <w:rPr>
                <w:lang w:val="en-US"/>
              </w:rPr>
              <w:t>Simon, T., et al.</w:t>
            </w:r>
            <w:r w:rsidR="00756BBA" w:rsidRPr="00BE504D">
              <w:rPr>
                <w:lang w:val="en-US"/>
              </w:rPr>
              <w:t xml:space="preserve"> Treatment and outcomes of patients with relapsed, high-risk neuroblastoma: Results of German trials. </w:t>
            </w:r>
            <w:proofErr w:type="spellStart"/>
            <w:r w:rsidR="00756BBA" w:rsidRPr="00E3362C">
              <w:rPr>
                <w:lang w:val="en-US"/>
              </w:rPr>
              <w:t>Ped</w:t>
            </w:r>
            <w:r w:rsidR="00E335F2" w:rsidRPr="00E3362C">
              <w:rPr>
                <w:lang w:val="en-US"/>
              </w:rPr>
              <w:t>iatr</w:t>
            </w:r>
            <w:proofErr w:type="spellEnd"/>
            <w:r w:rsidR="00E335F2" w:rsidRPr="00E3362C">
              <w:rPr>
                <w:lang w:val="en-US"/>
              </w:rPr>
              <w:t xml:space="preserve"> Blood Cancer 2011. 56(4): </w:t>
            </w:r>
            <w:r w:rsidR="00756BBA" w:rsidRPr="00E3362C">
              <w:rPr>
                <w:lang w:val="en-US"/>
              </w:rPr>
              <w:t>578-</w:t>
            </w:r>
            <w:r w:rsidR="00E335F2" w:rsidRPr="00E3362C">
              <w:rPr>
                <w:lang w:val="en-US"/>
              </w:rPr>
              <w:t>5</w:t>
            </w:r>
            <w:r w:rsidR="00756BBA" w:rsidRPr="00E3362C">
              <w:rPr>
                <w:lang w:val="en-US"/>
              </w:rPr>
              <w:t>83.</w:t>
            </w:r>
          </w:p>
          <w:p w14:paraId="02A0DE0A" w14:textId="2E43019F" w:rsidR="00C473A1" w:rsidRPr="00C473A1" w:rsidRDefault="00680BFD" w:rsidP="00C473A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35ED">
              <w:rPr>
                <w:lang w:val="en-US"/>
              </w:rPr>
              <w:t>(6</w:t>
            </w:r>
            <w:r w:rsidR="00C473A1" w:rsidRPr="006F35ED">
              <w:rPr>
                <w:lang w:val="en-US"/>
              </w:rPr>
              <w:t xml:space="preserve">) Simon T., et al. 2017 GPOH Guidelines for Diagnosis and Treatment of Patients with </w:t>
            </w:r>
            <w:proofErr w:type="spellStart"/>
            <w:r w:rsidR="00C473A1" w:rsidRPr="006F35ED">
              <w:rPr>
                <w:lang w:val="en-US"/>
              </w:rPr>
              <w:t>Neuroblastic</w:t>
            </w:r>
            <w:proofErr w:type="spellEnd"/>
            <w:r w:rsidR="00C473A1" w:rsidRPr="006F35ED">
              <w:rPr>
                <w:lang w:val="en-US"/>
              </w:rPr>
              <w:t xml:space="preserve"> Tumors. </w:t>
            </w:r>
            <w:r w:rsidR="00C473A1" w:rsidRPr="00C473A1">
              <w:t>Klinische P</w:t>
            </w:r>
            <w:r w:rsidR="008763C0">
              <w:t>ä</w:t>
            </w:r>
            <w:r w:rsidR="00C473A1" w:rsidRPr="00C473A1">
              <w:t>diatrie. 2017;229(3):147-67.</w:t>
            </w:r>
          </w:p>
        </w:tc>
      </w:tr>
      <w:tr w:rsidR="00680BFD" w:rsidRPr="00E3362C" w14:paraId="493083E0" w14:textId="77777777" w:rsidTr="00756BBA">
        <w:tc>
          <w:tcPr>
            <w:tcW w:w="9212" w:type="dxa"/>
          </w:tcPr>
          <w:p w14:paraId="7D1C7E91" w14:textId="77777777" w:rsidR="00680BFD" w:rsidRDefault="00680BFD" w:rsidP="00616FE2">
            <w:pPr>
              <w:jc w:val="both"/>
            </w:pPr>
          </w:p>
        </w:tc>
      </w:tr>
    </w:tbl>
    <w:p w14:paraId="00D1DAEB" w14:textId="77777777" w:rsidR="008E6675" w:rsidRPr="00C473A1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2CDAE12" w14:textId="77777777">
        <w:trPr>
          <w:trHeight w:val="234"/>
        </w:trPr>
        <w:tc>
          <w:tcPr>
            <w:tcW w:w="9212" w:type="dxa"/>
          </w:tcPr>
          <w:p w14:paraId="0DC828B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2.2 Welche bestehende Methode wird durch die neue Methode abgelöst oder ergänzt?</w:t>
            </w:r>
          </w:p>
        </w:tc>
      </w:tr>
      <w:tr w:rsidR="008E6675" w:rsidRPr="005638EB" w14:paraId="3673ED08" w14:textId="77777777">
        <w:tc>
          <w:tcPr>
            <w:tcW w:w="9212" w:type="dxa"/>
          </w:tcPr>
          <w:p w14:paraId="379BCE7B" w14:textId="064EE25E" w:rsidR="003C5220" w:rsidRDefault="004F7AFA" w:rsidP="004F7AFA">
            <w:pPr>
              <w:jc w:val="both"/>
            </w:pPr>
            <w:r>
              <w:t xml:space="preserve">Gemäß </w:t>
            </w:r>
            <w:r w:rsidR="003C5220">
              <w:t xml:space="preserve">der </w:t>
            </w:r>
            <w:r w:rsidR="003C5220" w:rsidRPr="00C473A1">
              <w:t>aktuellen Therapieempfehlung</w:t>
            </w:r>
            <w:r w:rsidRPr="00C473A1">
              <w:t xml:space="preserve"> der Gesellschaft für Pädiatrische Onkologie und</w:t>
            </w:r>
            <w:r>
              <w:t xml:space="preserve"> Hämatologie (GPOH) besteht f</w:t>
            </w:r>
            <w:r w:rsidR="00A570B6">
              <w:t>ür Hochrisikon</w:t>
            </w:r>
            <w:r>
              <w:t xml:space="preserve">euroblastom-Patienten </w:t>
            </w:r>
            <w:r w:rsidR="00220E83">
              <w:t xml:space="preserve">nach erfolgreicher Induktionstherapie und Konsolidierung mittels Hochdosis-Chemotherapie gefolgt von </w:t>
            </w:r>
            <w:proofErr w:type="spellStart"/>
            <w:r w:rsidR="00220E83">
              <w:t>autologer</w:t>
            </w:r>
            <w:proofErr w:type="spellEnd"/>
            <w:r w:rsidR="00220E83">
              <w:t xml:space="preserve"> Stammzelltransplantation (Erreichen einer partiellen Remission oder besser) eine Erhaltungskombinationstherapie </w:t>
            </w:r>
            <w:r>
              <w:t>mit Anti-G</w:t>
            </w:r>
            <w:r w:rsidR="008763C0">
              <w:t>D</w:t>
            </w:r>
            <w:r>
              <w:t>2 Antikörpern mit oder ohne IL-2 (1)</w:t>
            </w:r>
            <w:r w:rsidR="00220E83">
              <w:t xml:space="preserve">. </w:t>
            </w:r>
          </w:p>
          <w:p w14:paraId="6F4D100F" w14:textId="297B9B1A" w:rsidR="006F6323" w:rsidRDefault="009F5508" w:rsidP="00381EEC">
            <w:pPr>
              <w:jc w:val="both"/>
            </w:pPr>
            <w:r>
              <w:t xml:space="preserve">Außerdem wird auch </w:t>
            </w:r>
            <w:proofErr w:type="spellStart"/>
            <w:r>
              <w:t>Dinituximab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z</w:t>
            </w:r>
            <w:r w:rsidR="00220E83">
              <w:t>ur Behandlung von Neuroblastom-Rezidivpatienten oder primär refraktären Erkrankungen</w:t>
            </w:r>
            <w:r>
              <w:t xml:space="preserve"> angewendet, soweit jegliche aktiv progredienten Erkrankungen mithilfe anderer geeigneter Maßnahmen</w:t>
            </w:r>
            <w:r w:rsidR="00381EEC">
              <w:t xml:space="preserve"> </w:t>
            </w:r>
            <w:r w:rsidR="008763C0">
              <w:t xml:space="preserve">vorher </w:t>
            </w:r>
            <w:r w:rsidR="00381EEC">
              <w:t xml:space="preserve">stabilisiert sind. Es </w:t>
            </w:r>
            <w:r w:rsidR="00220E83">
              <w:t xml:space="preserve">gibt </w:t>
            </w:r>
            <w:r w:rsidR="00381EEC">
              <w:t xml:space="preserve">derzeit keine weitere </w:t>
            </w:r>
            <w:r w:rsidR="00220E83">
              <w:t>zugelassene medikamentöse Behandlung</w:t>
            </w:r>
            <w:r w:rsidR="00381EEC">
              <w:t xml:space="preserve"> für </w:t>
            </w:r>
            <w:r w:rsidR="008763C0">
              <w:t>r</w:t>
            </w:r>
            <w:r w:rsidR="00381EEC">
              <w:t>ezidiv</w:t>
            </w:r>
            <w:r w:rsidR="008763C0">
              <w:t>iert</w:t>
            </w:r>
            <w:r w:rsidR="00381EEC">
              <w:t xml:space="preserve">e oder </w:t>
            </w:r>
            <w:r w:rsidR="008763C0">
              <w:t xml:space="preserve">ein </w:t>
            </w:r>
            <w:r w:rsidR="00381EEC">
              <w:t xml:space="preserve">primär refraktäres Neuroblastom. </w:t>
            </w:r>
            <w:r w:rsidR="00220E83">
              <w:t>Diese Patienten werden üblicherweise mit unterschiedlichen experimentellen Therapieansätzen zu behandeln versucht.</w:t>
            </w:r>
          </w:p>
          <w:p w14:paraId="7A6E054F" w14:textId="77777777" w:rsidR="00381EEC" w:rsidRPr="00381EEC" w:rsidRDefault="00381EEC" w:rsidP="00381EEC">
            <w:pPr>
              <w:rPr>
                <w:lang w:val="en-US"/>
              </w:rPr>
            </w:pPr>
            <w:proofErr w:type="spellStart"/>
            <w:r w:rsidRPr="00381EEC">
              <w:rPr>
                <w:rFonts w:ascii="Arial Narrow" w:hAnsi="Arial Narrow"/>
                <w:b/>
                <w:lang w:val="en-US"/>
              </w:rPr>
              <w:t>Literatur</w:t>
            </w:r>
            <w:proofErr w:type="spellEnd"/>
          </w:p>
          <w:p w14:paraId="69CE9D42" w14:textId="05F9FE41" w:rsidR="00381EEC" w:rsidRPr="005638EB" w:rsidRDefault="00381EEC" w:rsidP="00381EEC">
            <w:pPr>
              <w:jc w:val="both"/>
              <w:rPr>
                <w:rFonts w:ascii="Arial Narrow" w:hAnsi="Arial Narrow"/>
              </w:rPr>
            </w:pPr>
            <w:r w:rsidRPr="000C44AD">
              <w:rPr>
                <w:lang w:val="en-US"/>
              </w:rPr>
              <w:t xml:space="preserve">(1) Simon T., et al. 2017 GPOH Guidelines for Diagnosis and Treatment of Patients with </w:t>
            </w:r>
            <w:proofErr w:type="spellStart"/>
            <w:r w:rsidRPr="000C44AD">
              <w:rPr>
                <w:lang w:val="en-US"/>
              </w:rPr>
              <w:t>Neuroblastic</w:t>
            </w:r>
            <w:proofErr w:type="spellEnd"/>
            <w:r w:rsidRPr="000C44AD">
              <w:rPr>
                <w:lang w:val="en-US"/>
              </w:rPr>
              <w:t xml:space="preserve"> Tumors. </w:t>
            </w:r>
            <w:r w:rsidRPr="00C473A1">
              <w:t>Klinische P</w:t>
            </w:r>
            <w:r w:rsidR="008779C4">
              <w:t>ä</w:t>
            </w:r>
            <w:r w:rsidRPr="00C473A1">
              <w:t>diatrie. 2017;229(3):147-67.</w:t>
            </w:r>
          </w:p>
        </w:tc>
      </w:tr>
    </w:tbl>
    <w:p w14:paraId="18590FA5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0E2D19" w14:textId="77777777">
        <w:tc>
          <w:tcPr>
            <w:tcW w:w="9212" w:type="dxa"/>
          </w:tcPr>
          <w:p w14:paraId="2BB9E836" w14:textId="77777777" w:rsidR="008E6675" w:rsidRPr="005638EB" w:rsidRDefault="008E6675" w:rsidP="00FD3984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>2.3 Ist die Methode vollständig oder in Teilen neu und warum handelt es sich um eine neue Untersuchungs- und Behandlungsmethode?</w:t>
            </w:r>
          </w:p>
        </w:tc>
      </w:tr>
      <w:tr w:rsidR="008E6675" w:rsidRPr="005638EB" w14:paraId="3B53CAC7" w14:textId="77777777">
        <w:tc>
          <w:tcPr>
            <w:tcW w:w="9212" w:type="dxa"/>
          </w:tcPr>
          <w:p w14:paraId="38E4C484" w14:textId="77777777" w:rsidR="00934221" w:rsidRPr="00A87428" w:rsidRDefault="00F87CEC" w:rsidP="009F3C1C">
            <w:pPr>
              <w:jc w:val="both"/>
            </w:pPr>
            <w:r w:rsidRPr="002A3A48">
              <w:t>Die Standardtherapie des Neuroblastoms basiert auf einem multimodalen Konzept aus Chemot</w:t>
            </w:r>
            <w:r w:rsidR="009F3C1C">
              <w:t>herapie, Operation, Bestrahlung und Hochdosischemotherapie</w:t>
            </w:r>
            <w:r w:rsidRPr="002A3A48">
              <w:t>. Die anti-</w:t>
            </w:r>
            <w:r w:rsidR="009F3C1C">
              <w:t xml:space="preserve">GD2-gerichtete Immuntherapie mit oder ohne IL-2 ist seit 2017 von </w:t>
            </w:r>
            <w:r w:rsidR="009F3C1C" w:rsidRPr="00C473A1">
              <w:t>der Gesellschaft für Pädiatrische Onkologie und</w:t>
            </w:r>
            <w:r w:rsidR="009F3C1C">
              <w:t xml:space="preserve"> Hämatologie (GPOH) empfohlen. </w:t>
            </w:r>
          </w:p>
        </w:tc>
      </w:tr>
    </w:tbl>
    <w:p w14:paraId="1897116E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355F2C2" w14:textId="77777777" w:rsidTr="00BD7A65">
        <w:tc>
          <w:tcPr>
            <w:tcW w:w="9212" w:type="dxa"/>
          </w:tcPr>
          <w:p w14:paraId="76847A54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2.4 Welche Auswirkungen hat die Methode auf die Verweildauer im Krankenhaus?</w:t>
            </w:r>
          </w:p>
        </w:tc>
      </w:tr>
      <w:tr w:rsidR="008E6675" w:rsidRPr="005638EB" w14:paraId="233E6A90" w14:textId="77777777" w:rsidTr="00BD7A65">
        <w:trPr>
          <w:trHeight w:val="264"/>
        </w:trPr>
        <w:tc>
          <w:tcPr>
            <w:tcW w:w="9212" w:type="dxa"/>
          </w:tcPr>
          <w:p w14:paraId="234EDB43" w14:textId="63C5BFC2" w:rsidR="00372808" w:rsidRPr="005638EB" w:rsidRDefault="00F87CEC" w:rsidP="008779C4">
            <w:pPr>
              <w:jc w:val="both"/>
              <w:rPr>
                <w:rFonts w:ascii="Arial Narrow" w:hAnsi="Arial Narrow"/>
              </w:rPr>
            </w:pPr>
            <w:r>
              <w:t>Die anti-GD</w:t>
            </w:r>
            <w:r w:rsidRPr="002A3A48">
              <w:t>2</w:t>
            </w:r>
            <w:r>
              <w:t xml:space="preserve">-gerichtete Immuntherapie erfordert </w:t>
            </w:r>
            <w:r w:rsidR="008779C4">
              <w:t xml:space="preserve">in Abhängigkeit von der Verträglichkeit </w:t>
            </w:r>
            <w:r w:rsidR="00372808">
              <w:t xml:space="preserve">im ersten Zyklus </w:t>
            </w:r>
            <w:r>
              <w:t xml:space="preserve">eine stationäre Behandlung von 5 Tagen. </w:t>
            </w:r>
            <w:r w:rsidR="00372808">
              <w:t>Die</w:t>
            </w:r>
            <w:r w:rsidR="00CB0C8A">
              <w:t xml:space="preserve"> Verträglichkeit</w:t>
            </w:r>
            <w:r w:rsidR="00372808">
              <w:t xml:space="preserve"> ist günstiger ohne Begleittherapie mit </w:t>
            </w:r>
            <w:proofErr w:type="spellStart"/>
            <w:r w:rsidR="00372808">
              <w:t>Zytokinen</w:t>
            </w:r>
            <w:proofErr w:type="spellEnd"/>
            <w:r w:rsidR="00372808">
              <w:t xml:space="preserve"> (I</w:t>
            </w:r>
            <w:r w:rsidR="00D40788">
              <w:t>L-2,</w:t>
            </w:r>
            <w:r w:rsidR="00372808">
              <w:t xml:space="preserve"> GM-CSF). </w:t>
            </w:r>
            <w:r>
              <w:t>Häufige unerwünschte Wirkungen sind Fieber, Schmerzen, Ödeme, Juckreiz, arterielle Hypotonie, erhöhter Sauerstoffbedarf.</w:t>
            </w:r>
            <w:r w:rsidR="00372808">
              <w:t xml:space="preserve"> Das Nebenwirkungsprofil verbe</w:t>
            </w:r>
            <w:r w:rsidR="008E0BF6">
              <w:t>ssert sich von Zyklus zu Zyklus.</w:t>
            </w:r>
            <w:r w:rsidR="00372808">
              <w:t xml:space="preserve"> </w:t>
            </w:r>
            <w:r w:rsidR="008E0BF6">
              <w:t>I</w:t>
            </w:r>
            <w:r w:rsidR="00BD7A65">
              <w:t>m Vergleich zu den mittleren Verweildauern eines „normalen“ Neuroblastom-</w:t>
            </w:r>
            <w:proofErr w:type="spellStart"/>
            <w:r w:rsidR="00BD7A65">
              <w:t>Chemotherapiezyklus</w:t>
            </w:r>
            <w:proofErr w:type="spellEnd"/>
            <w:r w:rsidR="00BD7A65">
              <w:t xml:space="preserve"> ist jedoch zu erwarten, dass es keine Auswirkung auf die mittlere Verweildauer </w:t>
            </w:r>
            <w:r w:rsidR="008779C4">
              <w:t xml:space="preserve">durch </w:t>
            </w:r>
            <w:r w:rsidR="00BD7A65">
              <w:t>eine</w:t>
            </w:r>
            <w:r w:rsidR="008779C4">
              <w:t>n stationären</w:t>
            </w:r>
            <w:r w:rsidR="00BD7A65">
              <w:t xml:space="preserve"> Immuntherapiezyklus mit </w:t>
            </w:r>
            <w:proofErr w:type="spellStart"/>
            <w:r w:rsidR="00BD7A65">
              <w:t>Dinutuximab</w:t>
            </w:r>
            <w:proofErr w:type="spellEnd"/>
            <w:r w:rsidR="00BD7A65">
              <w:t xml:space="preserve"> </w:t>
            </w:r>
            <w:proofErr w:type="spellStart"/>
            <w:r w:rsidR="00BD7A65">
              <w:t>beta</w:t>
            </w:r>
            <w:proofErr w:type="spellEnd"/>
            <w:r w:rsidR="00BD7A65">
              <w:t xml:space="preserve"> geben wird.</w:t>
            </w:r>
          </w:p>
        </w:tc>
      </w:tr>
    </w:tbl>
    <w:p w14:paraId="2C8AEC42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C03642E" w14:textId="77777777" w:rsidTr="002A3A48">
        <w:tc>
          <w:tcPr>
            <w:tcW w:w="9212" w:type="dxa"/>
          </w:tcPr>
          <w:p w14:paraId="6896609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3.1 Wann wurde diese Methode in Deutschland eingeführt?</w:t>
            </w:r>
          </w:p>
        </w:tc>
      </w:tr>
      <w:tr w:rsidR="008E6675" w:rsidRPr="005638EB" w14:paraId="4C165059" w14:textId="77777777" w:rsidTr="002A3A48">
        <w:tc>
          <w:tcPr>
            <w:tcW w:w="9212" w:type="dxa"/>
          </w:tcPr>
          <w:p w14:paraId="592719D1" w14:textId="77777777" w:rsidR="008E6675" w:rsidRPr="00D76ABC" w:rsidRDefault="00C32C8D" w:rsidP="00EB4251">
            <w:r w:rsidRPr="00D76ABC">
              <w:t>Dezember 20</w:t>
            </w:r>
            <w:r w:rsidR="00EB4251" w:rsidRPr="00D76ABC">
              <w:t>09</w:t>
            </w:r>
          </w:p>
        </w:tc>
      </w:tr>
    </w:tbl>
    <w:p w14:paraId="0F1555FA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4C2C99A" w14:textId="77777777">
        <w:tc>
          <w:tcPr>
            <w:tcW w:w="9212" w:type="dxa"/>
          </w:tcPr>
          <w:p w14:paraId="4090240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3.2 Bei Medikamenten: Wann wurde dieses Medikament zugelassen?</w:t>
            </w:r>
          </w:p>
        </w:tc>
      </w:tr>
      <w:tr w:rsidR="008E6675" w:rsidRPr="005638EB" w14:paraId="41D43713" w14:textId="77777777">
        <w:tc>
          <w:tcPr>
            <w:tcW w:w="9212" w:type="dxa"/>
          </w:tcPr>
          <w:p w14:paraId="6FBD0776" w14:textId="77777777" w:rsidR="006477DB" w:rsidRPr="005638EB" w:rsidRDefault="009F3C1C" w:rsidP="00245B9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t>Dinituximab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ist seit 08.05.2017 </w:t>
            </w:r>
            <w:r w:rsidR="00245B93" w:rsidRPr="00245B93">
              <w:t>in Europa zugelassen</w:t>
            </w:r>
            <w:r w:rsidR="00245B93">
              <w:t xml:space="preserve">. </w:t>
            </w:r>
            <w:r w:rsidR="00245B93" w:rsidRPr="00245B93">
              <w:t xml:space="preserve"> </w:t>
            </w:r>
          </w:p>
        </w:tc>
      </w:tr>
    </w:tbl>
    <w:p w14:paraId="05519B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BE04FBC" w14:textId="77777777">
        <w:tc>
          <w:tcPr>
            <w:tcW w:w="9212" w:type="dxa"/>
          </w:tcPr>
          <w:p w14:paraId="26C5C341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3.3 Wann wurde die Methode in Ihrem Krankenhaus eingeführt?</w:t>
            </w:r>
          </w:p>
        </w:tc>
      </w:tr>
      <w:tr w:rsidR="008E6675" w:rsidRPr="005638EB" w14:paraId="6A5D52C7" w14:textId="77777777">
        <w:tc>
          <w:tcPr>
            <w:tcW w:w="9212" w:type="dxa"/>
          </w:tcPr>
          <w:p w14:paraId="375F9ED6" w14:textId="77777777" w:rsidR="008E6675" w:rsidRPr="00F53906" w:rsidRDefault="00BD7A65" w:rsidP="00EB4251">
            <w:r w:rsidRPr="007B2923">
              <w:rPr>
                <w:highlight w:val="yellow"/>
              </w:rPr>
              <w:t>Vom Krankenhaus auszufüllen</w:t>
            </w:r>
          </w:p>
        </w:tc>
      </w:tr>
    </w:tbl>
    <w:p w14:paraId="193D90BC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0503EC1" w14:textId="77777777">
        <w:tc>
          <w:tcPr>
            <w:tcW w:w="9212" w:type="dxa"/>
          </w:tcPr>
          <w:p w14:paraId="69E63A1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3.4 In wie vielen Kliniken wird diese Methode derzeit eingesetzt (Schätzung)?</w:t>
            </w:r>
          </w:p>
        </w:tc>
      </w:tr>
      <w:tr w:rsidR="008E6675" w:rsidRPr="005638EB" w14:paraId="2C541673" w14:textId="77777777">
        <w:tc>
          <w:tcPr>
            <w:tcW w:w="9212" w:type="dxa"/>
          </w:tcPr>
          <w:p w14:paraId="6184523F" w14:textId="487AB7AF" w:rsidR="008E6675" w:rsidRPr="0038605F" w:rsidRDefault="00F22692" w:rsidP="00C32C8D">
            <w:pPr>
              <w:rPr>
                <w:rFonts w:ascii="Arial Narrow" w:hAnsi="Arial Narrow"/>
                <w:sz w:val="22"/>
                <w:szCs w:val="22"/>
              </w:rPr>
            </w:pPr>
            <w:r w:rsidRPr="0038605F">
              <w:rPr>
                <w:rFonts w:ascii="Arial Narrow" w:hAnsi="Arial Narrow"/>
                <w:sz w:val="22"/>
                <w:szCs w:val="22"/>
              </w:rPr>
              <w:t>ca. 10</w:t>
            </w:r>
          </w:p>
        </w:tc>
      </w:tr>
    </w:tbl>
    <w:p w14:paraId="30EE1245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2C27E5" w14:textId="77777777" w:rsidTr="00BD7A65">
        <w:tc>
          <w:tcPr>
            <w:tcW w:w="9212" w:type="dxa"/>
          </w:tcPr>
          <w:p w14:paraId="383FA866" w14:textId="77777777" w:rsidR="008E6675" w:rsidRPr="005638EB" w:rsidRDefault="008E6675" w:rsidP="00FD398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3.5 Wie</w:t>
            </w:r>
            <w:r w:rsidR="00FD3984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viele Patienten wur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den in Ihrem Krankenhaus in </w:t>
            </w:r>
            <w:r w:rsidR="00D3658D">
              <w:rPr>
                <w:rFonts w:ascii="Arial Narrow" w:hAnsi="Arial Narrow"/>
                <w:b/>
                <w:sz w:val="22"/>
              </w:rPr>
              <w:t>201</w:t>
            </w:r>
            <w:r w:rsidR="00CC36D7">
              <w:rPr>
                <w:rFonts w:ascii="Arial Narrow" w:hAnsi="Arial Narrow"/>
                <w:b/>
                <w:sz w:val="22"/>
              </w:rPr>
              <w:t>6</w:t>
            </w:r>
            <w:r w:rsidR="00D3658D">
              <w:rPr>
                <w:rFonts w:ascii="Arial Narrow" w:hAnsi="Arial Narrow"/>
                <w:b/>
                <w:sz w:val="22"/>
              </w:rPr>
              <w:t xml:space="preserve"> 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oder in </w:t>
            </w:r>
            <w:r w:rsidR="00D3658D">
              <w:rPr>
                <w:rFonts w:ascii="Arial Narrow" w:hAnsi="Arial Narrow"/>
                <w:b/>
                <w:sz w:val="22"/>
              </w:rPr>
              <w:t>201</w:t>
            </w:r>
            <w:r w:rsidR="00CC36D7">
              <w:rPr>
                <w:rFonts w:ascii="Arial Narrow" w:hAnsi="Arial Narrow"/>
                <w:b/>
                <w:sz w:val="22"/>
              </w:rPr>
              <w:t>7</w:t>
            </w:r>
            <w:r w:rsidR="00D3658D" w:rsidRPr="008C1686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mit dieser Methode behandelt?</w:t>
            </w:r>
          </w:p>
        </w:tc>
      </w:tr>
      <w:tr w:rsidR="008E6675" w:rsidRPr="005638EB" w14:paraId="7807C032" w14:textId="77777777" w:rsidTr="00BD7A65">
        <w:tc>
          <w:tcPr>
            <w:tcW w:w="9212" w:type="dxa"/>
          </w:tcPr>
          <w:p w14:paraId="22036A0A" w14:textId="77777777" w:rsidR="008E6675" w:rsidRPr="00E60CD8" w:rsidRDefault="008E6675" w:rsidP="00780A29">
            <w:pPr>
              <w:rPr>
                <w:rFonts w:ascii="Arial Narrow" w:hAnsi="Arial Narrow"/>
                <w:sz w:val="22"/>
                <w:szCs w:val="22"/>
              </w:rPr>
            </w:pPr>
            <w:r w:rsidRPr="00E60CD8">
              <w:rPr>
                <w:rFonts w:ascii="Arial Narrow" w:hAnsi="Arial Narrow"/>
                <w:sz w:val="22"/>
                <w:szCs w:val="22"/>
              </w:rPr>
              <w:t xml:space="preserve">In </w:t>
            </w:r>
            <w:r w:rsidR="000E3067" w:rsidRPr="00E60CD8">
              <w:rPr>
                <w:rFonts w:ascii="Arial Narrow" w:hAnsi="Arial Narrow"/>
                <w:sz w:val="22"/>
                <w:szCs w:val="22"/>
              </w:rPr>
              <w:t>201</w:t>
            </w:r>
            <w:r w:rsidR="00CC36D7">
              <w:rPr>
                <w:rFonts w:ascii="Arial Narrow" w:hAnsi="Arial Narrow"/>
                <w:sz w:val="22"/>
                <w:szCs w:val="22"/>
              </w:rPr>
              <w:t>6</w:t>
            </w:r>
            <w:r w:rsidR="000E3067" w:rsidRPr="00E60CD8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8E6675" w:rsidRPr="005638EB" w14:paraId="3130A3D4" w14:textId="77777777" w:rsidTr="00BD7A65">
        <w:tc>
          <w:tcPr>
            <w:tcW w:w="9212" w:type="dxa"/>
          </w:tcPr>
          <w:p w14:paraId="5C6531B4" w14:textId="77777777" w:rsidR="008E6675" w:rsidRPr="00DC6ACA" w:rsidRDefault="00BD7A65" w:rsidP="00DC6ACA">
            <w:r w:rsidRPr="007B2923">
              <w:rPr>
                <w:highlight w:val="yellow"/>
              </w:rPr>
              <w:t>Vom Krankenhaus auszufüllen</w:t>
            </w:r>
          </w:p>
        </w:tc>
      </w:tr>
      <w:tr w:rsidR="008E6675" w:rsidRPr="005638EB" w14:paraId="3B86C4F3" w14:textId="77777777" w:rsidTr="00BD7A65">
        <w:tc>
          <w:tcPr>
            <w:tcW w:w="9212" w:type="dxa"/>
          </w:tcPr>
          <w:p w14:paraId="3209C2E6" w14:textId="77777777" w:rsidR="008E6675" w:rsidRPr="00E60CD8" w:rsidRDefault="008E6675" w:rsidP="00FD3984">
            <w:pPr>
              <w:rPr>
                <w:rFonts w:ascii="Arial Narrow" w:hAnsi="Arial Narrow"/>
                <w:sz w:val="22"/>
                <w:szCs w:val="22"/>
              </w:rPr>
            </w:pPr>
            <w:r w:rsidRPr="00E60CD8">
              <w:rPr>
                <w:rFonts w:ascii="Arial Narrow" w:hAnsi="Arial Narrow"/>
                <w:sz w:val="22"/>
                <w:szCs w:val="22"/>
              </w:rPr>
              <w:t xml:space="preserve">In </w:t>
            </w:r>
            <w:r w:rsidR="000E3067" w:rsidRPr="00E60CD8">
              <w:rPr>
                <w:rFonts w:ascii="Arial Narrow" w:hAnsi="Arial Narrow"/>
                <w:sz w:val="22"/>
                <w:szCs w:val="22"/>
              </w:rPr>
              <w:t>201</w:t>
            </w:r>
            <w:r w:rsidR="00245B93">
              <w:rPr>
                <w:rFonts w:ascii="Arial Narrow" w:hAnsi="Arial Narrow"/>
                <w:sz w:val="22"/>
                <w:szCs w:val="22"/>
              </w:rPr>
              <w:t>7</w:t>
            </w:r>
            <w:r w:rsidR="000E3067" w:rsidRPr="00E60CD8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8E6675" w:rsidRPr="005638EB" w14:paraId="44873D94" w14:textId="77777777" w:rsidTr="00BD7A65">
        <w:tc>
          <w:tcPr>
            <w:tcW w:w="9212" w:type="dxa"/>
          </w:tcPr>
          <w:p w14:paraId="3C3E7E7C" w14:textId="77777777" w:rsidR="008E6675" w:rsidRPr="00DC6ACA" w:rsidRDefault="00BD7A65" w:rsidP="00A87428">
            <w:r w:rsidRPr="007B2923">
              <w:rPr>
                <w:highlight w:val="yellow"/>
              </w:rPr>
              <w:t>Vom Krankenhaus auszufüllen</w:t>
            </w:r>
          </w:p>
        </w:tc>
      </w:tr>
    </w:tbl>
    <w:p w14:paraId="13522B23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7CFF38F" w14:textId="77777777">
        <w:tc>
          <w:tcPr>
            <w:tcW w:w="9212" w:type="dxa"/>
          </w:tcPr>
          <w:p w14:paraId="524DA56C" w14:textId="77777777" w:rsidR="008E6675" w:rsidRPr="005638EB" w:rsidRDefault="008E6675" w:rsidP="00FD398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3.6 Wie</w:t>
            </w:r>
            <w:r w:rsidR="00FD3984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viele P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atienten planen Sie im Jahr </w:t>
            </w:r>
            <w:r w:rsidR="00D3658D">
              <w:rPr>
                <w:rFonts w:ascii="Arial Narrow" w:hAnsi="Arial Narrow"/>
                <w:b/>
                <w:sz w:val="22"/>
              </w:rPr>
              <w:t>201</w:t>
            </w:r>
            <w:r w:rsidR="00245B93">
              <w:rPr>
                <w:rFonts w:ascii="Arial Narrow" w:hAnsi="Arial Narrow"/>
                <w:b/>
                <w:sz w:val="22"/>
              </w:rPr>
              <w:t>8</w:t>
            </w:r>
            <w:r w:rsidR="00FD3984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mit dieser Methode zu behandeln?</w:t>
            </w:r>
          </w:p>
        </w:tc>
      </w:tr>
      <w:tr w:rsidR="008E6675" w:rsidRPr="005638EB" w14:paraId="7CFEF04D" w14:textId="77777777">
        <w:tc>
          <w:tcPr>
            <w:tcW w:w="9212" w:type="dxa"/>
          </w:tcPr>
          <w:p w14:paraId="4FBF67D3" w14:textId="77777777" w:rsidR="008E6675" w:rsidRPr="00DC6ACA" w:rsidRDefault="00DC6ACA" w:rsidP="00A87428">
            <w:r w:rsidRPr="007B2923">
              <w:rPr>
                <w:highlight w:val="yellow"/>
              </w:rPr>
              <w:t>Vom Krankenhaus auszufüllen</w:t>
            </w:r>
          </w:p>
        </w:tc>
      </w:tr>
    </w:tbl>
    <w:p w14:paraId="5B55B454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5B88F9C" w14:textId="77777777" w:rsidTr="000C2B78">
        <w:tc>
          <w:tcPr>
            <w:tcW w:w="9212" w:type="dxa"/>
          </w:tcPr>
          <w:p w14:paraId="01F3EC30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4.1 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3F7C9824" w14:textId="77777777" w:rsidTr="000C2B78">
        <w:tc>
          <w:tcPr>
            <w:tcW w:w="9212" w:type="dxa"/>
          </w:tcPr>
          <w:p w14:paraId="146A008F" w14:textId="77777777" w:rsidR="00225BB9" w:rsidRDefault="00D87C53" w:rsidP="00225BB9">
            <w:r>
              <w:rPr>
                <w:rFonts w:ascii="Arial Narrow" w:hAnsi="Arial Narrow"/>
                <w:b/>
              </w:rPr>
              <w:t>Sachkosten</w:t>
            </w:r>
          </w:p>
          <w:p w14:paraId="41A430DA" w14:textId="77777777" w:rsidR="00225BB9" w:rsidRDefault="00225BB9" w:rsidP="000C4B8E">
            <w:pPr>
              <w:jc w:val="both"/>
            </w:pPr>
            <w:r>
              <w:t xml:space="preserve">Kostenseitig ist ein Vergleich mit einem bisher üblichen Therapieverfahren mangels etablierter Standardtherapie nicht möglich. Nach Angaben des Herstellers ist von einem </w:t>
            </w:r>
            <w:r>
              <w:lastRenderedPageBreak/>
              <w:t xml:space="preserve">Preisniveau von 8.600 € pro Ampulle mit 20mg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auszugehen.</w:t>
            </w:r>
            <w:r w:rsidR="00B41B3E">
              <w:t xml:space="preserve"> </w:t>
            </w:r>
            <w:r>
              <w:t>Die Dosierung ist 100mg/m² Körperoberfläche pro Behandlungszyklus, insgesamt somit 500mg/m² Körperoberfläche bei fünf Behandlungszyklen.</w:t>
            </w:r>
            <w:r w:rsidR="00B41B3E">
              <w:t xml:space="preserve"> </w:t>
            </w:r>
            <w:r>
              <w:t>Die Sachkosten sind daher stark abhängig von der</w:t>
            </w:r>
            <w:r w:rsidR="00F4025D">
              <w:t xml:space="preserve"> Körperoberfläche des Patienten.</w:t>
            </w:r>
            <w:r w:rsidR="000C4B8E">
              <w:t xml:space="preserve"> </w:t>
            </w:r>
            <w:r w:rsidR="00C32C8D">
              <w:t xml:space="preserve">Ein </w:t>
            </w:r>
            <w:r>
              <w:t>Patient mit 0,8</w:t>
            </w:r>
            <w:r w:rsidR="000C4B8E">
              <w:t xml:space="preserve"> </w:t>
            </w:r>
            <w:r>
              <w:t xml:space="preserve">m² Körperoberfläche </w:t>
            </w:r>
            <w:r w:rsidR="00C32C8D">
              <w:t xml:space="preserve">benötigt </w:t>
            </w:r>
            <w:r>
              <w:t>400mg</w:t>
            </w:r>
            <w:r w:rsidR="00C32C8D">
              <w:t xml:space="preserve">, was </w:t>
            </w:r>
            <w:r>
              <w:t xml:space="preserve">20 Ampullen </w:t>
            </w:r>
            <w:proofErr w:type="spellStart"/>
            <w:r>
              <w:t>Dinutuximab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 w:rsidR="00C32C8D">
              <w:t xml:space="preserve"> entspricht. Dies ergibt </w:t>
            </w:r>
            <w:r w:rsidR="006427EC">
              <w:t xml:space="preserve">Kosten von </w:t>
            </w:r>
            <w:r>
              <w:t>172.000 €</w:t>
            </w:r>
            <w:r w:rsidR="00C32C8D">
              <w:t>.</w:t>
            </w:r>
          </w:p>
          <w:p w14:paraId="52F2EDA7" w14:textId="77777777" w:rsidR="00CB0C8A" w:rsidRDefault="00062B8E" w:rsidP="000C4B8E">
            <w:pPr>
              <w:jc w:val="both"/>
            </w:pPr>
            <w:r>
              <w:t xml:space="preserve">Zur Verabreichung werden Baxter </w:t>
            </w:r>
            <w:proofErr w:type="spellStart"/>
            <w:r>
              <w:t>Infusoren</w:t>
            </w:r>
            <w:proofErr w:type="spellEnd"/>
            <w:r>
              <w:t xml:space="preserve"> verwendet (</w:t>
            </w:r>
            <w:proofErr w:type="spellStart"/>
            <w:r>
              <w:t>FOLfusor</w:t>
            </w:r>
            <w:proofErr w:type="spellEnd"/>
            <w:r>
              <w:t xml:space="preserve"> LV 2). Davon </w:t>
            </w:r>
            <w:r w:rsidR="00C96488">
              <w:t>sind</w:t>
            </w:r>
            <w:r w:rsidR="000C4B8E">
              <w:t xml:space="preserve"> 2 Stück pro Behandlungsz</w:t>
            </w:r>
            <w:r>
              <w:t xml:space="preserve">yklus und somit 10 </w:t>
            </w:r>
            <w:r w:rsidR="000C4B8E">
              <w:t xml:space="preserve">Stück für fünf Behandlungszyklen </w:t>
            </w:r>
            <w:r>
              <w:t xml:space="preserve">erforderlich. </w:t>
            </w:r>
            <w:r w:rsidR="000C4B8E">
              <w:t>Die Kosten p</w:t>
            </w:r>
            <w:r>
              <w:t xml:space="preserve">ro </w:t>
            </w:r>
            <w:proofErr w:type="spellStart"/>
            <w:r>
              <w:t>Infusor</w:t>
            </w:r>
            <w:proofErr w:type="spellEnd"/>
            <w:r>
              <w:t xml:space="preserve"> liegen bei 150-170 €</w:t>
            </w:r>
            <w:r w:rsidR="0003633D">
              <w:t xml:space="preserve">. Die Gesamtkosten pro Patient belaufen </w:t>
            </w:r>
            <w:r w:rsidR="000C4B8E">
              <w:t>sich daher</w:t>
            </w:r>
            <w:r w:rsidR="0003633D">
              <w:t xml:space="preserve"> </w:t>
            </w:r>
            <w:r w:rsidR="000C4B8E">
              <w:t>auf etwa</w:t>
            </w:r>
            <w:r w:rsidR="0003633D">
              <w:t xml:space="preserve"> 1</w:t>
            </w:r>
            <w:r w:rsidR="000C4B8E">
              <w:t>.</w:t>
            </w:r>
            <w:r w:rsidR="0003633D">
              <w:t>500-1</w:t>
            </w:r>
            <w:r w:rsidR="000C4B8E">
              <w:t>.</w:t>
            </w:r>
            <w:r w:rsidR="0003633D">
              <w:t>700 €.</w:t>
            </w:r>
            <w:r w:rsidR="00B41B3E">
              <w:t xml:space="preserve"> </w:t>
            </w:r>
            <w:r w:rsidR="00CB0C8A">
              <w:t>In neuen Studien (z</w:t>
            </w:r>
            <w:r w:rsidR="000C4B8E">
              <w:t>.</w:t>
            </w:r>
            <w:r w:rsidR="00CB0C8A">
              <w:t>B</w:t>
            </w:r>
            <w:r w:rsidR="000C4B8E">
              <w:t>.</w:t>
            </w:r>
            <w:r w:rsidR="00CB0C8A">
              <w:t xml:space="preserve"> APN311-304) wird für die Dauerinfusion eine el</w:t>
            </w:r>
            <w:r w:rsidR="00C96488">
              <w:t>e</w:t>
            </w:r>
            <w:r w:rsidR="00CB0C8A">
              <w:t>ktronische Pumpe verwendet (</w:t>
            </w:r>
            <w:r w:rsidR="00C96488">
              <w:t xml:space="preserve">Smiths Medical </w:t>
            </w:r>
            <w:r w:rsidR="00C96488" w:rsidRPr="00C96488">
              <w:t>CADD Solis VIP Modell 2120</w:t>
            </w:r>
            <w:r w:rsidR="000C4B8E">
              <w:t>).</w:t>
            </w:r>
            <w:r w:rsidR="00C96488" w:rsidRPr="00C96488">
              <w:t xml:space="preserve"> </w:t>
            </w:r>
            <w:r w:rsidR="000C4B8E">
              <w:t>Der Preis inklusive</w:t>
            </w:r>
            <w:r w:rsidR="00C96488">
              <w:t xml:space="preserve"> Zubehör </w:t>
            </w:r>
            <w:r w:rsidR="000C4B8E">
              <w:t xml:space="preserve">beträgt </w:t>
            </w:r>
            <w:r w:rsidR="00C96488">
              <w:t>ca. 4</w:t>
            </w:r>
            <w:r w:rsidR="000C4B8E">
              <w:t>.</w:t>
            </w:r>
            <w:r w:rsidR="00C96488">
              <w:t>000 €</w:t>
            </w:r>
            <w:r w:rsidR="000C4B8E">
              <w:t>.</w:t>
            </w:r>
          </w:p>
          <w:p w14:paraId="4C9408B8" w14:textId="77777777" w:rsidR="00062B8E" w:rsidRDefault="00062B8E" w:rsidP="00225BB9"/>
          <w:p w14:paraId="661F47A5" w14:textId="77777777" w:rsidR="00225BB9" w:rsidRPr="000C4B8E" w:rsidRDefault="00D87C53" w:rsidP="0022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Personalkosten</w:t>
            </w:r>
          </w:p>
          <w:p w14:paraId="590C65BF" w14:textId="77777777" w:rsidR="0003633D" w:rsidRDefault="0003633D" w:rsidP="00B52666">
            <w:pPr>
              <w:jc w:val="both"/>
            </w:pPr>
            <w:r>
              <w:t>Zubereitung:</w:t>
            </w:r>
            <w:r w:rsidR="00B52666">
              <w:t xml:space="preserve"> p</w:t>
            </w:r>
            <w:r w:rsidR="00C32C8D">
              <w:t>ro Zyklus 2 Zubereitungen in 5 Tag</w:t>
            </w:r>
            <w:r w:rsidR="00B52666">
              <w:t>e</w:t>
            </w:r>
            <w:r w:rsidR="00C32C8D">
              <w:t>s-</w:t>
            </w:r>
            <w:proofErr w:type="spellStart"/>
            <w:r w:rsidR="00C32C8D">
              <w:t>Infusoren</w:t>
            </w:r>
            <w:proofErr w:type="spellEnd"/>
            <w:r w:rsidR="00B52666">
              <w:t xml:space="preserve"> à 10 Minuten</w:t>
            </w:r>
            <w:r w:rsidR="006427EC">
              <w:t>;</w:t>
            </w:r>
            <w:r w:rsidR="00062B8E">
              <w:t xml:space="preserve"> </w:t>
            </w:r>
            <w:r w:rsidR="006427EC">
              <w:t>f</w:t>
            </w:r>
            <w:r>
              <w:t>ür die Gesamtt</w:t>
            </w:r>
            <w:r w:rsidR="006427EC">
              <w:t>herapie 100 Minuten</w:t>
            </w:r>
          </w:p>
          <w:p w14:paraId="4BA8444D" w14:textId="77777777" w:rsidR="0003633D" w:rsidRDefault="0003633D" w:rsidP="00B52666">
            <w:pPr>
              <w:jc w:val="both"/>
            </w:pPr>
            <w:r>
              <w:t>Applikation</w:t>
            </w:r>
            <w:r w:rsidR="0094002E">
              <w:t xml:space="preserve">: </w:t>
            </w:r>
            <w:r w:rsidR="00062B8E">
              <w:t xml:space="preserve">durch Anschluss des </w:t>
            </w:r>
            <w:proofErr w:type="spellStart"/>
            <w:r w:rsidR="00062B8E">
              <w:t>I</w:t>
            </w:r>
            <w:r w:rsidR="006427EC">
              <w:t>nfusors</w:t>
            </w:r>
            <w:proofErr w:type="spellEnd"/>
            <w:r w:rsidR="006427EC">
              <w:t xml:space="preserve"> an den zentralen Zugang</w:t>
            </w:r>
            <w:r w:rsidR="00062B8E">
              <w:t xml:space="preserve"> </w:t>
            </w:r>
            <w:r w:rsidR="006427EC">
              <w:t>à</w:t>
            </w:r>
            <w:r w:rsidR="00062B8E">
              <w:t xml:space="preserve"> 5 Minuten pro</w:t>
            </w:r>
            <w:r w:rsidR="006427EC">
              <w:t xml:space="preserve"> </w:t>
            </w:r>
            <w:proofErr w:type="spellStart"/>
            <w:r w:rsidR="006427EC">
              <w:t>Infusor</w:t>
            </w:r>
            <w:proofErr w:type="spellEnd"/>
            <w:r w:rsidR="006427EC">
              <w:t>; f</w:t>
            </w:r>
            <w:r>
              <w:t>ür die Gesamttherapie 50 Minuten</w:t>
            </w:r>
          </w:p>
          <w:p w14:paraId="115117BD" w14:textId="77777777" w:rsidR="006427EC" w:rsidRDefault="0003633D" w:rsidP="00B52666">
            <w:pPr>
              <w:jc w:val="both"/>
            </w:pPr>
            <w:r>
              <w:t>Überwachung:</w:t>
            </w:r>
            <w:r w:rsidR="0094002E">
              <w:t xml:space="preserve"> </w:t>
            </w:r>
            <w:r>
              <w:t xml:space="preserve">bei der Verabreichung 4x/Schicht während der stationären Behandlung (Puls, RR, AF, HF): 30 </w:t>
            </w:r>
            <w:r w:rsidR="006427EC">
              <w:t xml:space="preserve">Minuten pro Zyklus; für die Gesamttherapie </w:t>
            </w:r>
            <w:r>
              <w:t xml:space="preserve">150 </w:t>
            </w:r>
            <w:r w:rsidR="006427EC">
              <w:t>Minuten</w:t>
            </w:r>
          </w:p>
          <w:p w14:paraId="6F08785C" w14:textId="77777777" w:rsidR="00186F9B" w:rsidRDefault="00186F9B" w:rsidP="00B52666">
            <w:pPr>
              <w:jc w:val="both"/>
            </w:pPr>
            <w:r>
              <w:t>Somit ergeben sich Personalkosten im Bereich von 35</w:t>
            </w:r>
            <w:r w:rsidR="006427EC">
              <w:t>0 € pro</w:t>
            </w:r>
            <w:r>
              <w:t xml:space="preserve"> Therapie.</w:t>
            </w:r>
          </w:p>
          <w:p w14:paraId="32FE654C" w14:textId="77777777" w:rsidR="001D1538" w:rsidRDefault="001D1538" w:rsidP="00B52666">
            <w:pPr>
              <w:jc w:val="both"/>
            </w:pPr>
          </w:p>
          <w:p w14:paraId="6480E275" w14:textId="77777777" w:rsidR="00BD6EF2" w:rsidRPr="002A3A48" w:rsidRDefault="006427EC" w:rsidP="00B52666">
            <w:pPr>
              <w:jc w:val="both"/>
            </w:pPr>
            <w:r>
              <w:t>Die</w:t>
            </w:r>
            <w:r w:rsidR="00186F9B">
              <w:t xml:space="preserve"> Gesamtkosten der Therapie liegen also für einen </w:t>
            </w:r>
            <w:r w:rsidR="000C2B78">
              <w:t xml:space="preserve">Patienten mit </w:t>
            </w:r>
            <w:r w:rsidR="00186F9B">
              <w:t>0,8 m² Körperoberfläche</w:t>
            </w:r>
            <w:r w:rsidR="000C2B78">
              <w:t xml:space="preserve"> bei </w:t>
            </w:r>
            <w:r w:rsidR="00464FC9">
              <w:t>rund 175.000</w:t>
            </w:r>
            <w:r w:rsidR="000C2B78">
              <w:t xml:space="preserve"> €.</w:t>
            </w:r>
          </w:p>
        </w:tc>
      </w:tr>
    </w:tbl>
    <w:p w14:paraId="29E57DAA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8E0A48C" w14:textId="77777777">
        <w:tc>
          <w:tcPr>
            <w:tcW w:w="9212" w:type="dxa"/>
          </w:tcPr>
          <w:p w14:paraId="64129B6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4.2 Welche DRG(s) ist/sind am häufigsten von dieser Methode betroffen?</w:t>
            </w:r>
          </w:p>
        </w:tc>
      </w:tr>
      <w:tr w:rsidR="008E6675" w:rsidRPr="005638EB" w14:paraId="56EEA8C3" w14:textId="77777777">
        <w:tc>
          <w:tcPr>
            <w:tcW w:w="9212" w:type="dxa"/>
          </w:tcPr>
          <w:p w14:paraId="1D155871" w14:textId="77777777" w:rsidR="008E6675" w:rsidRPr="005638EB" w:rsidRDefault="00BE504D" w:rsidP="003C18B8">
            <w:pPr>
              <w:rPr>
                <w:rFonts w:ascii="Arial Narrow" w:hAnsi="Arial Narrow"/>
              </w:rPr>
            </w:pPr>
            <w:r>
              <w:t>I65B, K64A</w:t>
            </w:r>
          </w:p>
        </w:tc>
      </w:tr>
    </w:tbl>
    <w:p w14:paraId="1CCD2625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5783EC4" w14:textId="77777777">
        <w:tc>
          <w:tcPr>
            <w:tcW w:w="9212" w:type="dxa"/>
          </w:tcPr>
          <w:p w14:paraId="053D231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FD3984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>.3 Warum ist diese Methode aus Ihrer Sicht derzeit im G-DRG-System nicht sachgerecht abgebildet?</w:t>
            </w:r>
          </w:p>
        </w:tc>
      </w:tr>
      <w:tr w:rsidR="008E6675" w:rsidRPr="005638EB" w14:paraId="04169826" w14:textId="77777777">
        <w:tc>
          <w:tcPr>
            <w:tcW w:w="9212" w:type="dxa"/>
          </w:tcPr>
          <w:p w14:paraId="410CA006" w14:textId="77777777" w:rsidR="00D56907" w:rsidRPr="00512EAB" w:rsidRDefault="00D56907" w:rsidP="00B52666">
            <w:pPr>
              <w:jc w:val="both"/>
              <w:rPr>
                <w:rFonts w:cs="Arial"/>
                <w:bCs/>
              </w:rPr>
            </w:pPr>
            <w:r w:rsidRPr="00512EAB">
              <w:rPr>
                <w:rFonts w:cs="Arial"/>
                <w:bCs/>
              </w:rPr>
              <w:t>Um bewerten zu können, ob eine Methode im G-DRG System nicht sachgerecht abgebildet ist, können verschiedene Kriterien herangezogen werden:</w:t>
            </w:r>
          </w:p>
          <w:p w14:paraId="1C63D036" w14:textId="77777777" w:rsidR="00D56907" w:rsidRPr="00512EAB" w:rsidRDefault="00D56907" w:rsidP="00B52666">
            <w:pPr>
              <w:jc w:val="both"/>
              <w:rPr>
                <w:rFonts w:cs="Arial"/>
                <w:bCs/>
              </w:rPr>
            </w:pPr>
            <w:r w:rsidRPr="00512EAB">
              <w:rPr>
                <w:rFonts w:cs="Arial"/>
                <w:bCs/>
              </w:rPr>
              <w:t>- Mehrkosten übersteigen die Standardabweichung der DRG</w:t>
            </w:r>
          </w:p>
          <w:p w14:paraId="3C376CC7" w14:textId="77777777" w:rsidR="00D56907" w:rsidRPr="00512EAB" w:rsidRDefault="003E024F" w:rsidP="00B52666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D56907" w:rsidRPr="00512EAB">
              <w:rPr>
                <w:rFonts w:cs="Arial"/>
                <w:bCs/>
              </w:rPr>
              <w:t>Mehrkosten überstiegen die bisherigen Kosten in den entsprechenden Kostenmodulen erheblich.</w:t>
            </w:r>
          </w:p>
          <w:p w14:paraId="3554DADF" w14:textId="77777777" w:rsidR="00D56907" w:rsidRPr="00512EAB" w:rsidRDefault="00D56907" w:rsidP="00B52666">
            <w:pPr>
              <w:tabs>
                <w:tab w:val="left" w:pos="5820"/>
              </w:tabs>
              <w:jc w:val="both"/>
              <w:rPr>
                <w:rFonts w:cs="Arial"/>
                <w:bCs/>
              </w:rPr>
            </w:pPr>
            <w:r w:rsidRPr="00512EAB">
              <w:rPr>
                <w:rFonts w:cs="Arial"/>
                <w:bCs/>
              </w:rPr>
              <w:t>- Schieflage bei der Leistungserbringung</w:t>
            </w:r>
          </w:p>
          <w:p w14:paraId="135D68EB" w14:textId="77777777" w:rsidR="002E190C" w:rsidRDefault="002E190C" w:rsidP="00B52666">
            <w:pPr>
              <w:jc w:val="both"/>
              <w:rPr>
                <w:rFonts w:cs="Arial"/>
                <w:bCs/>
              </w:rPr>
            </w:pPr>
          </w:p>
          <w:p w14:paraId="018EB2ED" w14:textId="77777777" w:rsidR="00D56907" w:rsidRPr="00512EAB" w:rsidRDefault="00082F5D" w:rsidP="00B52666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Die </w:t>
            </w:r>
            <w:r w:rsidR="002E190C">
              <w:rPr>
                <w:rFonts w:cs="Arial"/>
                <w:bCs/>
              </w:rPr>
              <w:t xml:space="preserve">neue Methode wird nur in wenigen </w:t>
            </w:r>
            <w:r w:rsidR="002446EB">
              <w:rPr>
                <w:rFonts w:cs="Arial"/>
                <w:bCs/>
              </w:rPr>
              <w:t xml:space="preserve">Zentren </w:t>
            </w:r>
            <w:r w:rsidR="002E190C">
              <w:rPr>
                <w:rFonts w:cs="Arial"/>
                <w:bCs/>
              </w:rPr>
              <w:t>eingesetzt</w:t>
            </w:r>
            <w:r w:rsidR="00225BB9">
              <w:rPr>
                <w:rFonts w:cs="Arial"/>
                <w:bCs/>
              </w:rPr>
              <w:t xml:space="preserve">. </w:t>
            </w:r>
            <w:r w:rsidR="00D56907" w:rsidRPr="00512EAB">
              <w:rPr>
                <w:rFonts w:cs="Arial"/>
                <w:bCs/>
              </w:rPr>
              <w:t>Es entsteht also eine deutliche Schieflage in der Leistungserbringung.</w:t>
            </w:r>
            <w:r w:rsidR="00225BB9">
              <w:rPr>
                <w:rFonts w:cs="Arial"/>
                <w:bCs/>
              </w:rPr>
              <w:t xml:space="preserve"> </w:t>
            </w:r>
          </w:p>
          <w:p w14:paraId="5A72E060" w14:textId="77777777" w:rsidR="00844EAF" w:rsidRPr="005638EB" w:rsidRDefault="00D56907" w:rsidP="00B52666">
            <w:pPr>
              <w:jc w:val="both"/>
              <w:rPr>
                <w:rFonts w:ascii="Arial Narrow" w:hAnsi="Arial Narrow"/>
                <w:b/>
              </w:rPr>
            </w:pPr>
            <w:r w:rsidRPr="00512EAB">
              <w:rPr>
                <w:rFonts w:cs="Arial"/>
                <w:bCs/>
              </w:rPr>
              <w:t>Zusammenfassend sind alle o.g. Kriterien erfüllt und es ist gezeigt, dass die Methode derzeit im G-DRG System nicht sachgerecht abgebildet ist.</w:t>
            </w:r>
          </w:p>
        </w:tc>
      </w:tr>
    </w:tbl>
    <w:p w14:paraId="71D79D81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D3984" w:rsidRPr="005638EB" w14:paraId="72C87026" w14:textId="77777777" w:rsidTr="00DC6ACA">
        <w:tc>
          <w:tcPr>
            <w:tcW w:w="9212" w:type="dxa"/>
          </w:tcPr>
          <w:p w14:paraId="77C24470" w14:textId="77777777" w:rsidR="00FD3984" w:rsidRPr="005638EB" w:rsidRDefault="00FD3984" w:rsidP="00FD39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4.4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Wurde für diese Methode bereits eine Anfrage gemäß §6 Abs. 2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KHEntgG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beim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gestellt</w:t>
            </w:r>
            <w:r w:rsidRPr="008C1686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D3984" w:rsidRPr="005638EB" w14:paraId="7985B633" w14:textId="77777777" w:rsidTr="00DC6ACA">
        <w:tc>
          <w:tcPr>
            <w:tcW w:w="9212" w:type="dxa"/>
          </w:tcPr>
          <w:p w14:paraId="0E835E90" w14:textId="77777777" w:rsidR="00DC6ACA" w:rsidRDefault="00DC6ACA" w:rsidP="00B526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lastRenderedPageBreak/>
              <w:t>Wenn Sie für die angefragte Methode bereits in den vergange</w:t>
            </w:r>
            <w:r w:rsidR="005F73C5">
              <w:t>nen Jahren eine Anfrage gemäß §</w:t>
            </w:r>
            <w:r>
              <w:t xml:space="preserve">6 Abs. 2 </w:t>
            </w:r>
            <w:proofErr w:type="spellStart"/>
            <w:r>
              <w:t>KHEntgG</w:t>
            </w:r>
            <w:proofErr w:type="spellEnd"/>
            <w:r>
              <w:t xml:space="preserve"> gestellt haben, kreuzen Sie bitte „Von Ihrem Krankenhaus“ an. Wenn Ihnen bekannt ist, dass ein anderes Krankenhaus für die von Ihnen aktuell angefragte Metho</w:t>
            </w:r>
            <w:r w:rsidR="005F73C5">
              <w:t>de bereits eine Anfrage gemäß §</w:t>
            </w:r>
            <w:r>
              <w:t xml:space="preserve">6 Abs. 2 </w:t>
            </w:r>
            <w:proofErr w:type="spellStart"/>
            <w:r>
              <w:t>KHEntgG</w:t>
            </w:r>
            <w:proofErr w:type="spellEnd"/>
            <w:r>
              <w:t xml:space="preserve"> gestellt hat, kreuzen Sie bitte „Von einem anderen Krankenhaus“ an. Ansonsten kreuzen Sie bitte nichts an.</w:t>
            </w:r>
          </w:p>
          <w:p w14:paraId="60CF7E6C" w14:textId="77777777" w:rsidR="00DC6ACA" w:rsidRDefault="002A3A48" w:rsidP="00B52666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>
              <w:tab/>
              <w:t>Von Ihrem Krankenhaus</w:t>
            </w:r>
            <w:r w:rsidR="003E024F">
              <w:t xml:space="preserve"> </w:t>
            </w:r>
            <w:r w:rsidR="003E024F" w:rsidRPr="007A046B">
              <w:rPr>
                <w:highlight w:val="yellow"/>
              </w:rPr>
              <w:t>XX</w:t>
            </w:r>
          </w:p>
          <w:p w14:paraId="1331D359" w14:textId="77777777" w:rsidR="00FD3984" w:rsidRPr="005638EB" w:rsidRDefault="00DC6ACA" w:rsidP="00B52666">
            <w:pPr>
              <w:jc w:val="both"/>
              <w:rPr>
                <w:rFonts w:ascii="Arial Narrow" w:hAnsi="Arial Narrow"/>
              </w:rPr>
            </w:pPr>
            <w:r>
              <w:tab/>
              <w:t>Von einem anderen Kr</w:t>
            </w:r>
            <w:r w:rsidR="00745975">
              <w:t>ankenhaus (falls Ihnen bekannt)</w:t>
            </w:r>
            <w:r w:rsidR="003E024F">
              <w:t xml:space="preserve"> </w:t>
            </w:r>
            <w:r w:rsidR="003E024F" w:rsidRPr="007A046B">
              <w:rPr>
                <w:highlight w:val="yellow"/>
              </w:rPr>
              <w:t>XX</w:t>
            </w:r>
          </w:p>
        </w:tc>
      </w:tr>
    </w:tbl>
    <w:p w14:paraId="19ABBD90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7A8F0" w14:textId="77777777" w:rsidR="007E5069" w:rsidRDefault="007E5069">
      <w:r>
        <w:separator/>
      </w:r>
    </w:p>
  </w:endnote>
  <w:endnote w:type="continuationSeparator" w:id="0">
    <w:p w14:paraId="30F973FE" w14:textId="77777777" w:rsidR="007E5069" w:rsidRDefault="007E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eSansOffic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D6E4C" w14:textId="706A2E42" w:rsidR="00614662" w:rsidRPr="008328F9" w:rsidRDefault="00614662" w:rsidP="003E024F">
    <w:pPr>
      <w:pStyle w:val="Fuzeile"/>
      <w:tabs>
        <w:tab w:val="clear" w:pos="9072"/>
        <w:tab w:val="right" w:pos="9180"/>
      </w:tabs>
      <w:rPr>
        <w:sz w:val="20"/>
        <w:szCs w:val="20"/>
      </w:rPr>
    </w:pPr>
    <w:r w:rsidRPr="008328F9">
      <w:rPr>
        <w:sz w:val="20"/>
        <w:szCs w:val="20"/>
      </w:rPr>
      <w:t xml:space="preserve">Antrag – </w:t>
    </w:r>
    <w:proofErr w:type="spellStart"/>
    <w:r>
      <w:rPr>
        <w:sz w:val="20"/>
        <w:szCs w:val="20"/>
      </w:rPr>
      <w:t>Dinutuximab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beta</w:t>
    </w:r>
    <w:proofErr w:type="spellEnd"/>
    <w:r>
      <w:rPr>
        <w:sz w:val="20"/>
        <w:szCs w:val="20"/>
      </w:rPr>
      <w:t xml:space="preserve"> (ch14.18/CHO)</w:t>
    </w:r>
    <w:r w:rsidRPr="008328F9">
      <w:rPr>
        <w:sz w:val="20"/>
        <w:szCs w:val="20"/>
      </w:rPr>
      <w:tab/>
    </w:r>
    <w:r w:rsidRPr="008328F9">
      <w:rPr>
        <w:sz w:val="20"/>
        <w:szCs w:val="20"/>
      </w:rPr>
      <w:tab/>
    </w:r>
    <w:r w:rsidRPr="008328F9">
      <w:rPr>
        <w:rStyle w:val="Seitenzahl"/>
        <w:sz w:val="20"/>
        <w:szCs w:val="20"/>
      </w:rPr>
      <w:fldChar w:fldCharType="begin"/>
    </w:r>
    <w:r w:rsidRPr="008328F9">
      <w:rPr>
        <w:rStyle w:val="Seitenzahl"/>
        <w:sz w:val="20"/>
        <w:szCs w:val="20"/>
      </w:rPr>
      <w:instrText xml:space="preserve"> PAGE </w:instrText>
    </w:r>
    <w:r w:rsidRPr="008328F9">
      <w:rPr>
        <w:rStyle w:val="Seitenzahl"/>
        <w:sz w:val="20"/>
        <w:szCs w:val="20"/>
      </w:rPr>
      <w:fldChar w:fldCharType="separate"/>
    </w:r>
    <w:r w:rsidR="00C606FD">
      <w:rPr>
        <w:rStyle w:val="Seitenzahl"/>
        <w:noProof/>
        <w:sz w:val="20"/>
        <w:szCs w:val="20"/>
      </w:rPr>
      <w:t>1</w:t>
    </w:r>
    <w:r w:rsidRPr="008328F9">
      <w:rPr>
        <w:rStyle w:val="Seitenzahl"/>
        <w:sz w:val="20"/>
        <w:szCs w:val="20"/>
      </w:rPr>
      <w:fldChar w:fldCharType="end"/>
    </w:r>
    <w:r w:rsidRPr="008328F9">
      <w:rPr>
        <w:rStyle w:val="Seitenzahl"/>
        <w:sz w:val="20"/>
        <w:szCs w:val="20"/>
      </w:rPr>
      <w:t>/</w:t>
    </w:r>
    <w:r w:rsidRPr="008328F9">
      <w:rPr>
        <w:rStyle w:val="Seitenzahl"/>
        <w:sz w:val="20"/>
        <w:szCs w:val="20"/>
      </w:rPr>
      <w:fldChar w:fldCharType="begin"/>
    </w:r>
    <w:r w:rsidRPr="008328F9">
      <w:rPr>
        <w:rStyle w:val="Seitenzahl"/>
        <w:sz w:val="20"/>
        <w:szCs w:val="20"/>
      </w:rPr>
      <w:instrText xml:space="preserve"> NUMPAGES </w:instrText>
    </w:r>
    <w:r w:rsidRPr="008328F9">
      <w:rPr>
        <w:rStyle w:val="Seitenzahl"/>
        <w:sz w:val="20"/>
        <w:szCs w:val="20"/>
      </w:rPr>
      <w:fldChar w:fldCharType="separate"/>
    </w:r>
    <w:r w:rsidR="00C606FD">
      <w:rPr>
        <w:rStyle w:val="Seitenzahl"/>
        <w:noProof/>
        <w:sz w:val="20"/>
        <w:szCs w:val="20"/>
      </w:rPr>
      <w:t>8</w:t>
    </w:r>
    <w:r w:rsidRPr="008328F9">
      <w:rPr>
        <w:rStyle w:val="Seitenzahl"/>
        <w:sz w:val="20"/>
        <w:szCs w:val="20"/>
      </w:rPr>
      <w:fldChar w:fldCharType="end"/>
    </w:r>
  </w:p>
  <w:p w14:paraId="158D3F24" w14:textId="77777777" w:rsidR="00614662" w:rsidRPr="008328F9" w:rsidRDefault="00614662" w:rsidP="003E024F">
    <w:pPr>
      <w:pStyle w:val="Fuzeile"/>
      <w:rPr>
        <w:sz w:val="20"/>
        <w:szCs w:val="20"/>
      </w:rPr>
    </w:pPr>
    <w:r w:rsidRPr="008328F9">
      <w:rPr>
        <w:sz w:val="20"/>
        <w:szCs w:val="20"/>
      </w:rPr>
      <w:t xml:space="preserve">Arbeitsgruppe DRG der Gesellschaft für Pädiatrische Onkologie und Hämatologie e.V., </w:t>
    </w:r>
    <w:hyperlink r:id="rId1" w:history="1">
      <w:r w:rsidRPr="00061FDB">
        <w:rPr>
          <w:rStyle w:val="Hyperlink"/>
          <w:sz w:val="20"/>
          <w:szCs w:val="20"/>
        </w:rPr>
        <w:t>www.gpoh.de</w:t>
      </w:r>
    </w:hyperlink>
  </w:p>
  <w:p w14:paraId="66BC0046" w14:textId="30E52D23" w:rsidR="00614662" w:rsidRPr="008328F9" w:rsidRDefault="00614662" w:rsidP="003E024F">
    <w:pPr>
      <w:pStyle w:val="Fu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4AA882" wp14:editId="0A2F526E">
          <wp:simplePos x="0" y="0"/>
          <wp:positionH relativeFrom="column">
            <wp:posOffset>5029200</wp:posOffset>
          </wp:positionH>
          <wp:positionV relativeFrom="paragraph">
            <wp:posOffset>37465</wp:posOffset>
          </wp:positionV>
          <wp:extent cx="742950" cy="3143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8F9">
      <w:rPr>
        <w:snapToGrid w:val="0"/>
        <w:sz w:val="20"/>
        <w:szCs w:val="20"/>
      </w:rPr>
      <w:t xml:space="preserve">Seite </w:t>
    </w:r>
    <w:r w:rsidRPr="008328F9">
      <w:rPr>
        <w:snapToGrid w:val="0"/>
        <w:sz w:val="20"/>
        <w:szCs w:val="20"/>
      </w:rPr>
      <w:fldChar w:fldCharType="begin"/>
    </w:r>
    <w:r w:rsidRPr="008328F9">
      <w:rPr>
        <w:snapToGrid w:val="0"/>
        <w:sz w:val="20"/>
        <w:szCs w:val="20"/>
      </w:rPr>
      <w:instrText xml:space="preserve"> PAGE </w:instrText>
    </w:r>
    <w:r w:rsidRPr="008328F9">
      <w:rPr>
        <w:snapToGrid w:val="0"/>
        <w:sz w:val="20"/>
        <w:szCs w:val="20"/>
      </w:rPr>
      <w:fldChar w:fldCharType="separate"/>
    </w:r>
    <w:r w:rsidR="00C606FD">
      <w:rPr>
        <w:noProof/>
        <w:snapToGrid w:val="0"/>
        <w:sz w:val="20"/>
        <w:szCs w:val="20"/>
      </w:rPr>
      <w:t>1</w:t>
    </w:r>
    <w:r w:rsidRPr="008328F9">
      <w:rPr>
        <w:snapToGrid w:val="0"/>
        <w:sz w:val="20"/>
        <w:szCs w:val="20"/>
      </w:rPr>
      <w:fldChar w:fldCharType="end"/>
    </w:r>
    <w:r w:rsidRPr="008328F9">
      <w:rPr>
        <w:snapToGrid w:val="0"/>
        <w:sz w:val="20"/>
        <w:szCs w:val="20"/>
      </w:rPr>
      <w:t xml:space="preserve"> von </w:t>
    </w:r>
    <w:r w:rsidRPr="008328F9">
      <w:rPr>
        <w:snapToGrid w:val="0"/>
        <w:sz w:val="20"/>
        <w:szCs w:val="20"/>
      </w:rPr>
      <w:fldChar w:fldCharType="begin"/>
    </w:r>
    <w:r w:rsidRPr="008328F9">
      <w:rPr>
        <w:snapToGrid w:val="0"/>
        <w:sz w:val="20"/>
        <w:szCs w:val="20"/>
      </w:rPr>
      <w:instrText xml:space="preserve"> NUMPAGES </w:instrText>
    </w:r>
    <w:r w:rsidRPr="008328F9">
      <w:rPr>
        <w:snapToGrid w:val="0"/>
        <w:sz w:val="20"/>
        <w:szCs w:val="20"/>
      </w:rPr>
      <w:fldChar w:fldCharType="separate"/>
    </w:r>
    <w:r w:rsidR="00C606FD">
      <w:rPr>
        <w:noProof/>
        <w:snapToGrid w:val="0"/>
        <w:sz w:val="20"/>
        <w:szCs w:val="20"/>
      </w:rPr>
      <w:t>8</w:t>
    </w:r>
    <w:r w:rsidRPr="008328F9">
      <w:rPr>
        <w:snapToGrid w:val="0"/>
        <w:sz w:val="20"/>
        <w:szCs w:val="20"/>
      </w:rPr>
      <w:fldChar w:fldCharType="end"/>
    </w:r>
  </w:p>
  <w:p w14:paraId="5563601C" w14:textId="77777777" w:rsidR="00614662" w:rsidRPr="008328F9" w:rsidRDefault="00614662" w:rsidP="003E024F">
    <w:pPr>
      <w:pStyle w:val="Fuzeile"/>
      <w:rPr>
        <w:sz w:val="20"/>
        <w:szCs w:val="20"/>
      </w:rPr>
    </w:pPr>
  </w:p>
  <w:p w14:paraId="606AF47A" w14:textId="77777777" w:rsidR="00614662" w:rsidRPr="003E024F" w:rsidRDefault="00614662" w:rsidP="003E02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33B90" w14:textId="77777777" w:rsidR="007E5069" w:rsidRDefault="007E5069">
      <w:r>
        <w:separator/>
      </w:r>
    </w:p>
  </w:footnote>
  <w:footnote w:type="continuationSeparator" w:id="0">
    <w:p w14:paraId="65C85960" w14:textId="77777777" w:rsidR="007E5069" w:rsidRDefault="007E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10C3" w14:textId="77777777" w:rsidR="00614662" w:rsidRPr="00405669" w:rsidRDefault="00614662" w:rsidP="00596F9A">
    <w:pPr>
      <w:pStyle w:val="Titel"/>
      <w:rPr>
        <w:sz w:val="48"/>
        <w:szCs w:val="48"/>
      </w:rPr>
    </w:pPr>
    <w:r>
      <w:rPr>
        <w:sz w:val="48"/>
        <w:szCs w:val="48"/>
      </w:rPr>
      <w:t xml:space="preserve">     </w:t>
    </w:r>
    <w:r w:rsidRPr="00405669">
      <w:rPr>
        <w:sz w:val="48"/>
        <w:szCs w:val="48"/>
      </w:rPr>
      <w:t xml:space="preserve">NUB Antrag </w:t>
    </w:r>
    <w:r>
      <w:rPr>
        <w:sz w:val="48"/>
        <w:szCs w:val="48"/>
      </w:rPr>
      <w:t>2017/2018</w:t>
    </w:r>
    <w:r>
      <w:rPr>
        <w:noProof/>
        <w:sz w:val="48"/>
        <w:szCs w:val="48"/>
      </w:rPr>
      <w:drawing>
        <wp:inline distT="0" distB="0" distL="0" distR="0" wp14:anchorId="5FCE9692" wp14:editId="137359D9">
          <wp:extent cx="1647825" cy="6762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DAF6AF" w14:textId="77777777" w:rsidR="00614662" w:rsidRPr="00405669" w:rsidRDefault="00614662" w:rsidP="00596F9A">
    <w:pPr>
      <w:pStyle w:val="Titel"/>
      <w:rPr>
        <w:sz w:val="48"/>
        <w:szCs w:val="48"/>
      </w:rPr>
    </w:pPr>
    <w:r w:rsidRPr="00405669">
      <w:rPr>
        <w:sz w:val="48"/>
        <w:szCs w:val="48"/>
      </w:rPr>
      <w:t>Anti-GD2-Antikörper ch14.18/CHO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">
    <w:nsid w:val="3D6873C2"/>
    <w:multiLevelType w:val="hybridMultilevel"/>
    <w:tmpl w:val="7740409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07681"/>
    <w:multiLevelType w:val="hybridMultilevel"/>
    <w:tmpl w:val="2FEE4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01969"/>
    <w:multiLevelType w:val="hybridMultilevel"/>
    <w:tmpl w:val="72220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1"/>
    <w:rsid w:val="00003F14"/>
    <w:rsid w:val="00024651"/>
    <w:rsid w:val="0003633D"/>
    <w:rsid w:val="00037E3C"/>
    <w:rsid w:val="00037FC9"/>
    <w:rsid w:val="0004094A"/>
    <w:rsid w:val="00044DE9"/>
    <w:rsid w:val="0006244D"/>
    <w:rsid w:val="00062B8E"/>
    <w:rsid w:val="000633E1"/>
    <w:rsid w:val="00072A33"/>
    <w:rsid w:val="000735BE"/>
    <w:rsid w:val="00075A2D"/>
    <w:rsid w:val="00082F5D"/>
    <w:rsid w:val="00086CED"/>
    <w:rsid w:val="000C2B78"/>
    <w:rsid w:val="000C44AD"/>
    <w:rsid w:val="000C4B8E"/>
    <w:rsid w:val="000C4DE9"/>
    <w:rsid w:val="000C704A"/>
    <w:rsid w:val="000D2B68"/>
    <w:rsid w:val="000E3067"/>
    <w:rsid w:val="000E51AF"/>
    <w:rsid w:val="000F1D04"/>
    <w:rsid w:val="000F218E"/>
    <w:rsid w:val="00100541"/>
    <w:rsid w:val="00117FBD"/>
    <w:rsid w:val="00152F28"/>
    <w:rsid w:val="00171F1C"/>
    <w:rsid w:val="001733F9"/>
    <w:rsid w:val="00174C6A"/>
    <w:rsid w:val="00186F9B"/>
    <w:rsid w:val="00195E19"/>
    <w:rsid w:val="001B2657"/>
    <w:rsid w:val="001D1538"/>
    <w:rsid w:val="001F7D31"/>
    <w:rsid w:val="002005AF"/>
    <w:rsid w:val="00203347"/>
    <w:rsid w:val="002054EC"/>
    <w:rsid w:val="00220198"/>
    <w:rsid w:val="00220E83"/>
    <w:rsid w:val="00225BB9"/>
    <w:rsid w:val="00234FB1"/>
    <w:rsid w:val="00235535"/>
    <w:rsid w:val="00243161"/>
    <w:rsid w:val="002446EB"/>
    <w:rsid w:val="0024477B"/>
    <w:rsid w:val="00245B93"/>
    <w:rsid w:val="0024790C"/>
    <w:rsid w:val="002824AC"/>
    <w:rsid w:val="0028432D"/>
    <w:rsid w:val="002A3A48"/>
    <w:rsid w:val="002D34A9"/>
    <w:rsid w:val="002D7403"/>
    <w:rsid w:val="002E0782"/>
    <w:rsid w:val="002E190C"/>
    <w:rsid w:val="002E4A21"/>
    <w:rsid w:val="002F5FD7"/>
    <w:rsid w:val="00303418"/>
    <w:rsid w:val="003065F3"/>
    <w:rsid w:val="00315EC2"/>
    <w:rsid w:val="00320ACE"/>
    <w:rsid w:val="00343636"/>
    <w:rsid w:val="003479E5"/>
    <w:rsid w:val="00360A19"/>
    <w:rsid w:val="0036251E"/>
    <w:rsid w:val="0036325A"/>
    <w:rsid w:val="0037149D"/>
    <w:rsid w:val="00371DEB"/>
    <w:rsid w:val="00372808"/>
    <w:rsid w:val="0037405A"/>
    <w:rsid w:val="00381EEC"/>
    <w:rsid w:val="0038605F"/>
    <w:rsid w:val="003A4835"/>
    <w:rsid w:val="003A6F05"/>
    <w:rsid w:val="003B13AD"/>
    <w:rsid w:val="003B2E05"/>
    <w:rsid w:val="003C18B8"/>
    <w:rsid w:val="003C5220"/>
    <w:rsid w:val="003D0072"/>
    <w:rsid w:val="003E024F"/>
    <w:rsid w:val="003E061B"/>
    <w:rsid w:val="003F2692"/>
    <w:rsid w:val="00405669"/>
    <w:rsid w:val="00410FF4"/>
    <w:rsid w:val="0041156E"/>
    <w:rsid w:val="00411EDE"/>
    <w:rsid w:val="00424703"/>
    <w:rsid w:val="00430547"/>
    <w:rsid w:val="0044201E"/>
    <w:rsid w:val="004468D7"/>
    <w:rsid w:val="00450139"/>
    <w:rsid w:val="004642E2"/>
    <w:rsid w:val="00464FC9"/>
    <w:rsid w:val="00465F7E"/>
    <w:rsid w:val="00467DFB"/>
    <w:rsid w:val="00471879"/>
    <w:rsid w:val="00475ADC"/>
    <w:rsid w:val="00475DD9"/>
    <w:rsid w:val="00495818"/>
    <w:rsid w:val="004A3562"/>
    <w:rsid w:val="004B3438"/>
    <w:rsid w:val="004B527E"/>
    <w:rsid w:val="004B624B"/>
    <w:rsid w:val="004B6C59"/>
    <w:rsid w:val="004E1D02"/>
    <w:rsid w:val="004E48DF"/>
    <w:rsid w:val="004F7AFA"/>
    <w:rsid w:val="0050526A"/>
    <w:rsid w:val="0050713A"/>
    <w:rsid w:val="0052398F"/>
    <w:rsid w:val="00536E43"/>
    <w:rsid w:val="00541E38"/>
    <w:rsid w:val="0055107E"/>
    <w:rsid w:val="00551678"/>
    <w:rsid w:val="005524BC"/>
    <w:rsid w:val="00554F5C"/>
    <w:rsid w:val="0055630C"/>
    <w:rsid w:val="005638EB"/>
    <w:rsid w:val="0056420C"/>
    <w:rsid w:val="005775DF"/>
    <w:rsid w:val="005900FB"/>
    <w:rsid w:val="00596F9A"/>
    <w:rsid w:val="005B2274"/>
    <w:rsid w:val="005C256A"/>
    <w:rsid w:val="005C4618"/>
    <w:rsid w:val="005C48F3"/>
    <w:rsid w:val="005D3D8D"/>
    <w:rsid w:val="005E3FB6"/>
    <w:rsid w:val="005E7BE8"/>
    <w:rsid w:val="005F1A25"/>
    <w:rsid w:val="005F29C6"/>
    <w:rsid w:val="005F4D2E"/>
    <w:rsid w:val="005F608F"/>
    <w:rsid w:val="005F73C5"/>
    <w:rsid w:val="006106E6"/>
    <w:rsid w:val="00614662"/>
    <w:rsid w:val="00616FE2"/>
    <w:rsid w:val="00630E3C"/>
    <w:rsid w:val="006427EC"/>
    <w:rsid w:val="006428B9"/>
    <w:rsid w:val="00643CFD"/>
    <w:rsid w:val="006477DB"/>
    <w:rsid w:val="006509CB"/>
    <w:rsid w:val="00650BE2"/>
    <w:rsid w:val="006549F4"/>
    <w:rsid w:val="00661236"/>
    <w:rsid w:val="00680BFD"/>
    <w:rsid w:val="006879E1"/>
    <w:rsid w:val="006A43AF"/>
    <w:rsid w:val="006B5C7B"/>
    <w:rsid w:val="006F255E"/>
    <w:rsid w:val="006F35ED"/>
    <w:rsid w:val="006F6323"/>
    <w:rsid w:val="00700400"/>
    <w:rsid w:val="00713BD0"/>
    <w:rsid w:val="0071520D"/>
    <w:rsid w:val="00723B4A"/>
    <w:rsid w:val="00742E62"/>
    <w:rsid w:val="00745975"/>
    <w:rsid w:val="00745B2F"/>
    <w:rsid w:val="00756BBA"/>
    <w:rsid w:val="00756E2C"/>
    <w:rsid w:val="007600D1"/>
    <w:rsid w:val="007718BD"/>
    <w:rsid w:val="00780A29"/>
    <w:rsid w:val="00780D1C"/>
    <w:rsid w:val="00795478"/>
    <w:rsid w:val="00795591"/>
    <w:rsid w:val="007A6F09"/>
    <w:rsid w:val="007B2753"/>
    <w:rsid w:val="007B2923"/>
    <w:rsid w:val="007B2981"/>
    <w:rsid w:val="007D5647"/>
    <w:rsid w:val="007D7329"/>
    <w:rsid w:val="007E5069"/>
    <w:rsid w:val="007F30EF"/>
    <w:rsid w:val="00802412"/>
    <w:rsid w:val="00807564"/>
    <w:rsid w:val="00812781"/>
    <w:rsid w:val="00816924"/>
    <w:rsid w:val="00825453"/>
    <w:rsid w:val="00832697"/>
    <w:rsid w:val="00844E15"/>
    <w:rsid w:val="00844EAF"/>
    <w:rsid w:val="00850D44"/>
    <w:rsid w:val="00860E2C"/>
    <w:rsid w:val="00870C59"/>
    <w:rsid w:val="0087117B"/>
    <w:rsid w:val="008763C0"/>
    <w:rsid w:val="008779C4"/>
    <w:rsid w:val="00892361"/>
    <w:rsid w:val="00894C2F"/>
    <w:rsid w:val="008B3B29"/>
    <w:rsid w:val="008B4504"/>
    <w:rsid w:val="008B7CEC"/>
    <w:rsid w:val="008C0456"/>
    <w:rsid w:val="008C1686"/>
    <w:rsid w:val="008D12DD"/>
    <w:rsid w:val="008E0BF6"/>
    <w:rsid w:val="008E35B5"/>
    <w:rsid w:val="008E42ED"/>
    <w:rsid w:val="008E6675"/>
    <w:rsid w:val="008F1048"/>
    <w:rsid w:val="008F5AED"/>
    <w:rsid w:val="009115A2"/>
    <w:rsid w:val="00934221"/>
    <w:rsid w:val="0094002E"/>
    <w:rsid w:val="00952364"/>
    <w:rsid w:val="0098459E"/>
    <w:rsid w:val="009B1C7E"/>
    <w:rsid w:val="009C0B84"/>
    <w:rsid w:val="009C2BEC"/>
    <w:rsid w:val="009D3843"/>
    <w:rsid w:val="009D4A29"/>
    <w:rsid w:val="009E4333"/>
    <w:rsid w:val="009F3C1C"/>
    <w:rsid w:val="009F5508"/>
    <w:rsid w:val="00A00CA9"/>
    <w:rsid w:val="00A00CCB"/>
    <w:rsid w:val="00A0361F"/>
    <w:rsid w:val="00A12C3D"/>
    <w:rsid w:val="00A21163"/>
    <w:rsid w:val="00A21E9E"/>
    <w:rsid w:val="00A27F9B"/>
    <w:rsid w:val="00A31EAB"/>
    <w:rsid w:val="00A345A9"/>
    <w:rsid w:val="00A36CCF"/>
    <w:rsid w:val="00A46371"/>
    <w:rsid w:val="00A477A8"/>
    <w:rsid w:val="00A47AB4"/>
    <w:rsid w:val="00A52D55"/>
    <w:rsid w:val="00A530BE"/>
    <w:rsid w:val="00A54C02"/>
    <w:rsid w:val="00A558E7"/>
    <w:rsid w:val="00A570B6"/>
    <w:rsid w:val="00A87428"/>
    <w:rsid w:val="00A91428"/>
    <w:rsid w:val="00A93AAD"/>
    <w:rsid w:val="00AA512C"/>
    <w:rsid w:val="00AB209D"/>
    <w:rsid w:val="00AB4290"/>
    <w:rsid w:val="00AE050B"/>
    <w:rsid w:val="00AE4C49"/>
    <w:rsid w:val="00B03A61"/>
    <w:rsid w:val="00B147C8"/>
    <w:rsid w:val="00B23FFB"/>
    <w:rsid w:val="00B41B3E"/>
    <w:rsid w:val="00B52666"/>
    <w:rsid w:val="00B574E9"/>
    <w:rsid w:val="00B5787E"/>
    <w:rsid w:val="00B63536"/>
    <w:rsid w:val="00B6570D"/>
    <w:rsid w:val="00B773B8"/>
    <w:rsid w:val="00B77B6C"/>
    <w:rsid w:val="00B91D9D"/>
    <w:rsid w:val="00BA766A"/>
    <w:rsid w:val="00BB4A54"/>
    <w:rsid w:val="00BC0D5A"/>
    <w:rsid w:val="00BC2C24"/>
    <w:rsid w:val="00BC4042"/>
    <w:rsid w:val="00BC6CA1"/>
    <w:rsid w:val="00BC7B27"/>
    <w:rsid w:val="00BD6EF2"/>
    <w:rsid w:val="00BD709B"/>
    <w:rsid w:val="00BD7A65"/>
    <w:rsid w:val="00BE504D"/>
    <w:rsid w:val="00BF11AE"/>
    <w:rsid w:val="00BF3C3B"/>
    <w:rsid w:val="00C32C8D"/>
    <w:rsid w:val="00C3450D"/>
    <w:rsid w:val="00C46A99"/>
    <w:rsid w:val="00C473A1"/>
    <w:rsid w:val="00C52D5A"/>
    <w:rsid w:val="00C533A1"/>
    <w:rsid w:val="00C606FD"/>
    <w:rsid w:val="00C949A1"/>
    <w:rsid w:val="00C96488"/>
    <w:rsid w:val="00CB08E2"/>
    <w:rsid w:val="00CB0C8A"/>
    <w:rsid w:val="00CB4845"/>
    <w:rsid w:val="00CC36D7"/>
    <w:rsid w:val="00CC67BD"/>
    <w:rsid w:val="00CD2365"/>
    <w:rsid w:val="00CD47CF"/>
    <w:rsid w:val="00CE69F3"/>
    <w:rsid w:val="00CF031D"/>
    <w:rsid w:val="00CF5ECC"/>
    <w:rsid w:val="00D1063A"/>
    <w:rsid w:val="00D15B48"/>
    <w:rsid w:val="00D216BD"/>
    <w:rsid w:val="00D21A79"/>
    <w:rsid w:val="00D278A6"/>
    <w:rsid w:val="00D3658D"/>
    <w:rsid w:val="00D40788"/>
    <w:rsid w:val="00D42253"/>
    <w:rsid w:val="00D45B79"/>
    <w:rsid w:val="00D51BAF"/>
    <w:rsid w:val="00D54FAC"/>
    <w:rsid w:val="00D56907"/>
    <w:rsid w:val="00D60E8F"/>
    <w:rsid w:val="00D76ABC"/>
    <w:rsid w:val="00D819A0"/>
    <w:rsid w:val="00D87051"/>
    <w:rsid w:val="00D87B96"/>
    <w:rsid w:val="00D87C53"/>
    <w:rsid w:val="00D90AAB"/>
    <w:rsid w:val="00D91817"/>
    <w:rsid w:val="00D9586E"/>
    <w:rsid w:val="00DB4789"/>
    <w:rsid w:val="00DC0F4B"/>
    <w:rsid w:val="00DC284F"/>
    <w:rsid w:val="00DC6ACA"/>
    <w:rsid w:val="00DD397B"/>
    <w:rsid w:val="00DD3FEA"/>
    <w:rsid w:val="00DE3BE9"/>
    <w:rsid w:val="00DE68B1"/>
    <w:rsid w:val="00E01447"/>
    <w:rsid w:val="00E03DE5"/>
    <w:rsid w:val="00E16E95"/>
    <w:rsid w:val="00E17036"/>
    <w:rsid w:val="00E24E3B"/>
    <w:rsid w:val="00E3127A"/>
    <w:rsid w:val="00E335F2"/>
    <w:rsid w:val="00E3362C"/>
    <w:rsid w:val="00E43A6D"/>
    <w:rsid w:val="00E60CD8"/>
    <w:rsid w:val="00E65E9E"/>
    <w:rsid w:val="00E85B53"/>
    <w:rsid w:val="00E86725"/>
    <w:rsid w:val="00E92857"/>
    <w:rsid w:val="00EA73D0"/>
    <w:rsid w:val="00EB4251"/>
    <w:rsid w:val="00EC0987"/>
    <w:rsid w:val="00EC1957"/>
    <w:rsid w:val="00ED7D52"/>
    <w:rsid w:val="00EE1513"/>
    <w:rsid w:val="00EE5875"/>
    <w:rsid w:val="00EF17FD"/>
    <w:rsid w:val="00EF69A5"/>
    <w:rsid w:val="00F000AA"/>
    <w:rsid w:val="00F050FD"/>
    <w:rsid w:val="00F13133"/>
    <w:rsid w:val="00F1567C"/>
    <w:rsid w:val="00F22692"/>
    <w:rsid w:val="00F233AA"/>
    <w:rsid w:val="00F35DC9"/>
    <w:rsid w:val="00F35E27"/>
    <w:rsid w:val="00F4025D"/>
    <w:rsid w:val="00F40B65"/>
    <w:rsid w:val="00F47966"/>
    <w:rsid w:val="00F53906"/>
    <w:rsid w:val="00F57CCE"/>
    <w:rsid w:val="00F82C9C"/>
    <w:rsid w:val="00F82D74"/>
    <w:rsid w:val="00F83C4E"/>
    <w:rsid w:val="00F87CEC"/>
    <w:rsid w:val="00F91167"/>
    <w:rsid w:val="00FA6340"/>
    <w:rsid w:val="00FC4757"/>
    <w:rsid w:val="00FD092B"/>
    <w:rsid w:val="00FD3984"/>
    <w:rsid w:val="00FD68C5"/>
    <w:rsid w:val="00FD6F6C"/>
    <w:rsid w:val="00FE3689"/>
    <w:rsid w:val="00FF4695"/>
    <w:rsid w:val="00FF51E1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5A6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C52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B4504"/>
    <w:rPr>
      <w:rFonts w:cs="Times New Roman"/>
      <w:sz w:val="24"/>
      <w:szCs w:val="24"/>
    </w:rPr>
  </w:style>
  <w:style w:type="character" w:styleId="Fett">
    <w:name w:val="Strong"/>
    <w:basedOn w:val="Absatz-Standardschriftart"/>
    <w:qFormat/>
    <w:locked/>
    <w:rsid w:val="002824AC"/>
    <w:rPr>
      <w:b/>
      <w:bCs/>
    </w:rPr>
  </w:style>
  <w:style w:type="paragraph" w:styleId="Listenabsatz">
    <w:name w:val="List Paragraph"/>
    <w:basedOn w:val="Standard"/>
    <w:uiPriority w:val="34"/>
    <w:qFormat/>
    <w:rsid w:val="006F6323"/>
    <w:pPr>
      <w:ind w:left="720"/>
      <w:contextualSpacing/>
    </w:pPr>
    <w:rPr>
      <w:rFonts w:ascii="TheSansOffice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0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07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0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0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0782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65"/>
    <w:qFormat/>
    <w:rsid w:val="00780A29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semiHidden/>
    <w:rsid w:val="00C52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eitenzahl">
    <w:name w:val="page number"/>
    <w:basedOn w:val="Absatz-Standardschriftart"/>
    <w:rsid w:val="003E024F"/>
  </w:style>
  <w:style w:type="table" w:styleId="Tabellenraster">
    <w:name w:val="Table Grid"/>
    <w:basedOn w:val="NormaleTabelle"/>
    <w:locked/>
    <w:rsid w:val="00B1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510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C52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B4504"/>
    <w:rPr>
      <w:rFonts w:cs="Times New Roman"/>
      <w:sz w:val="24"/>
      <w:szCs w:val="24"/>
    </w:rPr>
  </w:style>
  <w:style w:type="character" w:styleId="Fett">
    <w:name w:val="Strong"/>
    <w:basedOn w:val="Absatz-Standardschriftart"/>
    <w:qFormat/>
    <w:locked/>
    <w:rsid w:val="002824AC"/>
    <w:rPr>
      <w:b/>
      <w:bCs/>
    </w:rPr>
  </w:style>
  <w:style w:type="paragraph" w:styleId="Listenabsatz">
    <w:name w:val="List Paragraph"/>
    <w:basedOn w:val="Standard"/>
    <w:uiPriority w:val="34"/>
    <w:qFormat/>
    <w:rsid w:val="006F6323"/>
    <w:pPr>
      <w:ind w:left="720"/>
      <w:contextualSpacing/>
    </w:pPr>
    <w:rPr>
      <w:rFonts w:ascii="TheSansOffice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0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07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0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0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0782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65"/>
    <w:qFormat/>
    <w:rsid w:val="00780A29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semiHidden/>
    <w:rsid w:val="00C52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eitenzahl">
    <w:name w:val="page number"/>
    <w:basedOn w:val="Absatz-Standardschriftart"/>
    <w:rsid w:val="003E024F"/>
  </w:style>
  <w:style w:type="table" w:styleId="Tabellenraster">
    <w:name w:val="Table Grid"/>
    <w:basedOn w:val="NormaleTabelle"/>
    <w:locked/>
    <w:rsid w:val="00B1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51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inderkrebsregister.de/dkkr/ergebnisse/jahresberich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de_DE/document_library/EPAR_-_Product_Information/human/003918/WC500227724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po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D1DB-26B7-409F-8F46-E27386D0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16933</Characters>
  <Application>Microsoft Office Word</Application>
  <DocSecurity>0</DocSecurity>
  <Lines>141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4</cp:revision>
  <cp:lastPrinted>2017-10-10T15:41:00Z</cp:lastPrinted>
  <dcterms:created xsi:type="dcterms:W3CDTF">2017-10-10T15:40:00Z</dcterms:created>
  <dcterms:modified xsi:type="dcterms:W3CDTF">2017-10-10T17:13:00Z</dcterms:modified>
</cp:coreProperties>
</file>