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42848E" w14:textId="77777777">
        <w:tc>
          <w:tcPr>
            <w:tcW w:w="9212" w:type="dxa"/>
          </w:tcPr>
          <w:p w14:paraId="3856C14D" w14:textId="77777777" w:rsidR="008E6675" w:rsidRPr="005638EB" w:rsidRDefault="008E6675" w:rsidP="002005AF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Haben Sie externe Hilfestellungen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zum Ausfüllen der Formblätter </w:t>
            </w:r>
            <w:r w:rsidRPr="005638EB">
              <w:rPr>
                <w:rFonts w:ascii="Arial Narrow" w:hAnsi="Arial Narrow"/>
                <w:b/>
                <w:sz w:val="22"/>
              </w:rPr>
              <w:t>in Anspruch genommen</w:t>
            </w:r>
            <w:r w:rsidR="002005AF">
              <w:rPr>
                <w:rFonts w:ascii="Arial Narrow" w:hAnsi="Arial Narrow"/>
                <w:b/>
                <w:sz w:val="22"/>
              </w:rPr>
              <w:t>?</w:t>
            </w:r>
            <w:r w:rsidRPr="005638EB">
              <w:rPr>
                <w:rFonts w:ascii="Arial Narrow" w:hAnsi="Arial Narrow"/>
                <w:b/>
                <w:sz w:val="22"/>
              </w:rPr>
              <w:t xml:space="preserve">  Wenn ja, bitte geben Sie an, welche Hilfestellung</w:t>
            </w:r>
            <w:r w:rsidR="002005AF"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Pr="005638EB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8E6675" w:rsidRPr="005638EB" w14:paraId="2315EEB9" w14:textId="77777777">
        <w:tc>
          <w:tcPr>
            <w:tcW w:w="9212" w:type="dxa"/>
          </w:tcPr>
          <w:p w14:paraId="59E436C4" w14:textId="62FFD89A" w:rsidR="008E6675" w:rsidRPr="005638EB" w:rsidRDefault="008E6675" w:rsidP="001363FF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  <w:sz w:val="22"/>
              </w:rPr>
              <w:t xml:space="preserve">Dieser Antrag wurde durch die </w:t>
            </w:r>
            <w:r w:rsidR="00AB6364">
              <w:rPr>
                <w:rFonts w:ascii="Arial Narrow" w:hAnsi="Arial Narrow"/>
                <w:sz w:val="22"/>
              </w:rPr>
              <w:t xml:space="preserve">deutsche Gesellschaft für pädiatrische </w:t>
            </w:r>
            <w:r w:rsidR="00D20753">
              <w:rPr>
                <w:rFonts w:ascii="Arial Narrow" w:hAnsi="Arial Narrow"/>
                <w:sz w:val="22"/>
              </w:rPr>
              <w:t>Onkologie</w:t>
            </w:r>
            <w:r w:rsidR="00AB6364">
              <w:rPr>
                <w:rFonts w:ascii="Arial Narrow" w:hAnsi="Arial Narrow"/>
                <w:sz w:val="22"/>
              </w:rPr>
              <w:t xml:space="preserve"> und </w:t>
            </w:r>
            <w:r w:rsidR="00D20753">
              <w:rPr>
                <w:rFonts w:ascii="Arial Narrow" w:hAnsi="Arial Narrow"/>
                <w:sz w:val="22"/>
              </w:rPr>
              <w:t>Hämatologie</w:t>
            </w:r>
            <w:r w:rsidR="00AB6364">
              <w:rPr>
                <w:rFonts w:ascii="Arial Narrow" w:hAnsi="Arial Narrow"/>
                <w:sz w:val="22"/>
              </w:rPr>
              <w:t xml:space="preserve"> e.V. vorformuliert.</w:t>
            </w:r>
            <w:r w:rsidR="00AB6364">
              <w:t xml:space="preserve"> </w:t>
            </w:r>
            <w:r w:rsidRPr="005638EB">
              <w:rPr>
                <w:rFonts w:ascii="Arial Narrow" w:hAnsi="Arial Narrow"/>
                <w:sz w:val="22"/>
              </w:rPr>
              <w:t xml:space="preserve">. </w:t>
            </w:r>
          </w:p>
        </w:tc>
      </w:tr>
    </w:tbl>
    <w:p w14:paraId="1B73E9CE" w14:textId="77777777" w:rsidR="008E6675" w:rsidRPr="005638EB" w:rsidRDefault="008E6675" w:rsidP="005638EB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9DF06E3" w14:textId="77777777">
        <w:tc>
          <w:tcPr>
            <w:tcW w:w="9212" w:type="dxa"/>
          </w:tcPr>
          <w:p w14:paraId="48DD38F6" w14:textId="62BF7CF8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Angefragte Untersuchungs- und Beh</w:t>
            </w:r>
            <w:r w:rsidR="002333FF">
              <w:rPr>
                <w:rFonts w:ascii="Arial Narrow" w:hAnsi="Arial Narrow"/>
                <w:b/>
                <w:sz w:val="22"/>
              </w:rPr>
              <w:t>andlungsmethode</w:t>
            </w:r>
          </w:p>
        </w:tc>
      </w:tr>
      <w:tr w:rsidR="008E6675" w:rsidRPr="0062180E" w14:paraId="3534B4A0" w14:textId="77777777">
        <w:tc>
          <w:tcPr>
            <w:tcW w:w="9212" w:type="dxa"/>
          </w:tcPr>
          <w:p w14:paraId="2C182448" w14:textId="75191C85" w:rsidR="008E6675" w:rsidRPr="0062180E" w:rsidRDefault="00482185" w:rsidP="005638EB">
            <w:pPr>
              <w:rPr>
                <w:rFonts w:ascii="Arial Narrow" w:hAnsi="Arial Narrow"/>
                <w:color w:val="00B050"/>
                <w:sz w:val="22"/>
              </w:rPr>
            </w:pPr>
            <w:r w:rsidRPr="0062180E">
              <w:rPr>
                <w:rFonts w:ascii="Arial Narrow" w:hAnsi="Arial Narrow"/>
                <w:sz w:val="22"/>
              </w:rPr>
              <w:t xml:space="preserve">Gabe von CAR T-Zellen zur Behandlung von hämatologischen Erkrankungen: </w:t>
            </w:r>
            <w:proofErr w:type="spellStart"/>
            <w:r w:rsidRPr="0062180E">
              <w:rPr>
                <w:rFonts w:ascii="Arial Narrow" w:hAnsi="Arial Narrow"/>
                <w:sz w:val="22"/>
              </w:rPr>
              <w:t>Tisagenlecleucel</w:t>
            </w:r>
            <w:proofErr w:type="spellEnd"/>
          </w:p>
        </w:tc>
      </w:tr>
    </w:tbl>
    <w:p w14:paraId="42022921" w14:textId="77777777" w:rsidR="008E6675" w:rsidRPr="0062180E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2180E" w14:paraId="16B6F275" w14:textId="77777777">
        <w:tc>
          <w:tcPr>
            <w:tcW w:w="9212" w:type="dxa"/>
          </w:tcPr>
          <w:p w14:paraId="67F0AA02" w14:textId="4EF70D85" w:rsidR="008E6675" w:rsidRPr="0062180E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62180E">
              <w:rPr>
                <w:rFonts w:ascii="Arial Narrow" w:hAnsi="Arial Narrow"/>
                <w:b/>
                <w:sz w:val="22"/>
              </w:rPr>
              <w:t>Alternative Bezeichnung(en) der Methode</w:t>
            </w:r>
            <w:r w:rsidRPr="0062180E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8E6675" w:rsidRPr="005638EB" w14:paraId="6AA1CD49" w14:textId="77777777">
        <w:tc>
          <w:tcPr>
            <w:tcW w:w="9212" w:type="dxa"/>
          </w:tcPr>
          <w:p w14:paraId="03804348" w14:textId="2B85FD50" w:rsidR="008E6675" w:rsidRPr="005638EB" w:rsidRDefault="00482185" w:rsidP="005638EB">
            <w:pPr>
              <w:rPr>
                <w:rFonts w:ascii="Arial Narrow" w:hAnsi="Arial Narrow"/>
              </w:rPr>
            </w:pPr>
            <w:proofErr w:type="spellStart"/>
            <w:r w:rsidRPr="0062180E">
              <w:rPr>
                <w:rFonts w:ascii="Arial Narrow" w:hAnsi="Arial Narrow"/>
                <w:sz w:val="22"/>
              </w:rPr>
              <w:t>Kymriah</w:t>
            </w:r>
            <w:proofErr w:type="spellEnd"/>
            <w:r w:rsidRPr="00251296">
              <w:rPr>
                <w:rFonts w:ascii="Arial Narrow" w:hAnsi="Arial Narrow"/>
                <w:sz w:val="22"/>
                <w:vertAlign w:val="superscript"/>
              </w:rPr>
              <w:t>®</w:t>
            </w:r>
          </w:p>
        </w:tc>
      </w:tr>
    </w:tbl>
    <w:p w14:paraId="5C4D6932" w14:textId="77777777" w:rsidR="004C4F82" w:rsidRDefault="004C4F8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4C4F82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4C4F82" w:rsidRDefault="004C4F82" w:rsidP="004C4F82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 w:rsidRPr="004C4F82">
              <w:rPr>
                <w:rFonts w:ascii="Arial Narrow" w:hAnsi="Arial Narrow"/>
                <w:b/>
                <w:sz w:val="22"/>
              </w:rPr>
              <w:t>Beruht die neue Untersuchungs- und Behandlungsmethode vollständig oder in Teilen auf dem Ei</w:t>
            </w:r>
            <w:r>
              <w:rPr>
                <w:rFonts w:ascii="Arial Narrow" w:hAnsi="Arial Narrow"/>
                <w:b/>
                <w:sz w:val="22"/>
              </w:rPr>
              <w:t>nsatz eines Medizinproduktes?</w:t>
            </w:r>
            <w:r w:rsidRPr="004C4F82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4C4F82" w:rsidRPr="005638EB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2423FD7D" w:rsidR="004C4F82" w:rsidRPr="003763CE" w:rsidRDefault="008B7669" w:rsidP="008B7669">
            <w:pPr>
              <w:rPr>
                <w:rFonts w:ascii="Arial Narrow" w:hAnsi="Arial Narrow"/>
                <w:sz w:val="22"/>
              </w:rPr>
            </w:pPr>
            <w:r w:rsidRPr="008B7669">
              <w:rPr>
                <w:rFonts w:ascii="Arial Narrow" w:hAnsi="Arial Narrow"/>
                <w:sz w:val="22"/>
              </w:rPr>
              <w:t>[</w:t>
            </w:r>
            <w:r w:rsidRPr="0036178C">
              <w:rPr>
                <w:rFonts w:ascii="Arial Narrow" w:hAnsi="Arial Narrow"/>
                <w:sz w:val="22"/>
                <w:highlight w:val="yellow"/>
              </w:rPr>
              <w:t>nein ankreuzen</w:t>
            </w:r>
            <w:r w:rsidRPr="008B7669">
              <w:rPr>
                <w:rFonts w:ascii="Arial Narrow" w:hAnsi="Arial Narrow"/>
                <w:sz w:val="22"/>
              </w:rPr>
              <w:t>]</w:t>
            </w:r>
          </w:p>
        </w:tc>
      </w:tr>
    </w:tbl>
    <w:p w14:paraId="7F1AD41E" w14:textId="77777777" w:rsidR="008E6675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92AB4" w:rsidRPr="005638EB" w14:paraId="5055E8B5" w14:textId="77777777" w:rsidTr="0036178C">
        <w:tc>
          <w:tcPr>
            <w:tcW w:w="9212" w:type="dxa"/>
          </w:tcPr>
          <w:p w14:paraId="43488653" w14:textId="27EEE27E" w:rsidR="00492AB4" w:rsidRPr="005638EB" w:rsidRDefault="00492AB4" w:rsidP="006354B6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Wurde für diese angefrag</w:t>
            </w:r>
            <w:r w:rsidR="00DC6CBD">
              <w:rPr>
                <w:rFonts w:ascii="Arial Narrow" w:hAnsi="Arial Narrow"/>
                <w:b/>
                <w:sz w:val="22"/>
              </w:rPr>
              <w:t>te Untersuchungs- und Behandlungsmethode von Ihrem Kranke</w:t>
            </w:r>
            <w:r w:rsidR="00DB14F4">
              <w:rPr>
                <w:rFonts w:ascii="Arial Narrow" w:hAnsi="Arial Narrow"/>
                <w:b/>
                <w:sz w:val="22"/>
              </w:rPr>
              <w:t>nhaus bereits vor dem 01.01.202</w:t>
            </w:r>
            <w:r w:rsidR="001363FF">
              <w:rPr>
                <w:rFonts w:ascii="Arial Narrow" w:hAnsi="Arial Narrow"/>
                <w:b/>
                <w:sz w:val="22"/>
              </w:rPr>
              <w:t>4</w:t>
            </w:r>
            <w:r w:rsidR="00DC6CBD">
              <w:rPr>
                <w:rFonts w:ascii="Arial Narrow" w:hAnsi="Arial Narrow"/>
                <w:b/>
                <w:sz w:val="22"/>
              </w:rPr>
              <w:t xml:space="preserve"> eine Anfrage gemäß §6 Abs. 2 </w:t>
            </w:r>
            <w:proofErr w:type="spellStart"/>
            <w:r w:rsidR="00DC6CBD">
              <w:rPr>
                <w:rFonts w:ascii="Arial Narrow" w:hAnsi="Arial Narrow"/>
                <w:b/>
                <w:sz w:val="22"/>
              </w:rPr>
              <w:t>KHEntG</w:t>
            </w:r>
            <w:proofErr w:type="spellEnd"/>
            <w:r w:rsidR="00DC6CBD">
              <w:rPr>
                <w:rFonts w:ascii="Arial Narrow" w:hAnsi="Arial Narrow"/>
                <w:b/>
                <w:sz w:val="22"/>
              </w:rPr>
              <w:t xml:space="preserve"> an das </w:t>
            </w:r>
            <w:proofErr w:type="spellStart"/>
            <w:r w:rsidR="00DC6CBD">
              <w:rPr>
                <w:rFonts w:ascii="Arial Narrow" w:hAnsi="Arial Narrow"/>
                <w:b/>
                <w:sz w:val="22"/>
              </w:rPr>
              <w:t>InEK</w:t>
            </w:r>
            <w:proofErr w:type="spellEnd"/>
            <w:r w:rsidR="00DC6CBD">
              <w:rPr>
                <w:rFonts w:ascii="Arial Narrow" w:hAnsi="Arial Narrow"/>
                <w:b/>
                <w:sz w:val="22"/>
              </w:rPr>
              <w:t xml:space="preserve"> übermittelt</w:t>
            </w:r>
            <w:r w:rsidR="002333FF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492AB4" w:rsidRPr="005638EB" w14:paraId="3F239A32" w14:textId="77777777" w:rsidTr="0036178C">
        <w:tc>
          <w:tcPr>
            <w:tcW w:w="9212" w:type="dxa"/>
          </w:tcPr>
          <w:p w14:paraId="0ACD3755" w14:textId="2CB0BA36" w:rsidR="00DB14F4" w:rsidRPr="00ED79AA" w:rsidRDefault="00ED79AA" w:rsidP="0036178C">
            <w:pPr>
              <w:rPr>
                <w:rFonts w:ascii="Arial Narrow" w:hAnsi="Arial Narrow"/>
                <w:sz w:val="22"/>
                <w:highlight w:val="yellow"/>
              </w:rPr>
            </w:pPr>
            <w:r>
              <w:rPr>
                <w:rFonts w:ascii="Arial Narrow" w:hAnsi="Arial Narrow"/>
                <w:sz w:val="22"/>
                <w:highlight w:val="yellow"/>
              </w:rPr>
              <w:t>[</w:t>
            </w:r>
            <w:r w:rsidR="00DC6CBD" w:rsidRPr="00DC6CBD">
              <w:rPr>
                <w:rFonts w:ascii="Arial Narrow" w:hAnsi="Arial Narrow"/>
                <w:sz w:val="22"/>
                <w:highlight w:val="yellow"/>
              </w:rPr>
              <w:t>Ja/nein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ankreuzen.</w:t>
            </w:r>
            <w:r w:rsidR="006C656D" w:rsidRPr="00ED79AA">
              <w:rPr>
                <w:rFonts w:ascii="Arial Narrow" w:hAnsi="Arial Narrow"/>
                <w:sz w:val="22"/>
                <w:highlight w:val="yellow"/>
              </w:rPr>
              <w:t xml:space="preserve"> </w:t>
            </w:r>
            <w:r w:rsidR="00C21654" w:rsidRPr="00ED79AA">
              <w:rPr>
                <w:rFonts w:ascii="Arial Narrow" w:hAnsi="Arial Narrow"/>
                <w:sz w:val="22"/>
                <w:highlight w:val="yellow"/>
              </w:rPr>
              <w:t>Bei ja Nummer aus Liste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auswählen]</w:t>
            </w:r>
          </w:p>
          <w:p w14:paraId="7DD0679B" w14:textId="77777777" w:rsidR="00492AB4" w:rsidRPr="005638EB" w:rsidRDefault="00DB14F4" w:rsidP="00DB14F4">
            <w:pPr>
              <w:rPr>
                <w:rFonts w:ascii="Arial Narrow" w:hAnsi="Arial Narrow"/>
              </w:rPr>
            </w:pPr>
            <w:r w:rsidRPr="00EE0D0B">
              <w:rPr>
                <w:rFonts w:ascii="Arial Narrow" w:hAnsi="Arial Narrow"/>
                <w:sz w:val="22"/>
              </w:rPr>
              <w:t>[D</w:t>
            </w:r>
            <w:r w:rsidR="006C656D" w:rsidRPr="00EE0D0B">
              <w:rPr>
                <w:rFonts w:ascii="Arial Narrow" w:hAnsi="Arial Narrow"/>
                <w:sz w:val="22"/>
              </w:rPr>
              <w:t>ie Angab</w:t>
            </w:r>
            <w:r w:rsidRPr="00EE0D0B">
              <w:rPr>
                <w:rFonts w:ascii="Arial Narrow" w:hAnsi="Arial Narrow"/>
                <w:sz w:val="22"/>
              </w:rPr>
              <w:t>e der vorangegangenen Verfahre</w:t>
            </w:r>
            <w:r w:rsidR="00BE3979" w:rsidRPr="00EE0D0B">
              <w:rPr>
                <w:rFonts w:ascii="Arial Narrow" w:hAnsi="Arial Narrow"/>
                <w:sz w:val="22"/>
              </w:rPr>
              <w:t>n</w:t>
            </w:r>
            <w:r w:rsidRPr="00EE0D0B">
              <w:rPr>
                <w:rFonts w:ascii="Arial Narrow" w:hAnsi="Arial Narrow"/>
                <w:sz w:val="22"/>
              </w:rPr>
              <w:t>s</w:t>
            </w:r>
            <w:r w:rsidR="006C656D" w:rsidRPr="00EE0D0B">
              <w:rPr>
                <w:rFonts w:ascii="Arial Narrow" w:hAnsi="Arial Narrow"/>
                <w:sz w:val="22"/>
              </w:rPr>
              <w:t xml:space="preserve">nummer </w:t>
            </w:r>
            <w:r w:rsidRPr="00EE0D0B">
              <w:rPr>
                <w:rFonts w:ascii="Arial Narrow" w:hAnsi="Arial Narrow"/>
                <w:sz w:val="22"/>
              </w:rPr>
              <w:t xml:space="preserve">ist </w:t>
            </w:r>
            <w:r w:rsidR="006C656D" w:rsidRPr="00EE0D0B">
              <w:rPr>
                <w:rFonts w:ascii="Arial Narrow" w:hAnsi="Arial Narrow"/>
                <w:sz w:val="22"/>
              </w:rPr>
              <w:t xml:space="preserve">Pflicht, </w:t>
            </w:r>
            <w:r w:rsidRPr="00EE0D0B">
              <w:rPr>
                <w:rFonts w:ascii="Arial Narrow" w:hAnsi="Arial Narrow"/>
                <w:sz w:val="22"/>
              </w:rPr>
              <w:t xml:space="preserve">diese </w:t>
            </w:r>
            <w:r w:rsidR="006C656D" w:rsidRPr="00EE0D0B">
              <w:rPr>
                <w:rFonts w:ascii="Arial Narrow" w:hAnsi="Arial Narrow"/>
                <w:sz w:val="22"/>
              </w:rPr>
              <w:t>wird im Formular durch Suchfunktion unterstützt</w:t>
            </w:r>
            <w:r w:rsidRPr="00EE0D0B">
              <w:rPr>
                <w:rFonts w:ascii="Arial Narrow" w:hAnsi="Arial Narrow"/>
                <w:sz w:val="22"/>
              </w:rPr>
              <w:t>]</w:t>
            </w:r>
          </w:p>
        </w:tc>
      </w:tr>
    </w:tbl>
    <w:p w14:paraId="53DF57CA" w14:textId="77777777" w:rsidR="00492AB4" w:rsidRPr="005638EB" w:rsidRDefault="00492AB4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823808B" w14:textId="77777777">
        <w:tc>
          <w:tcPr>
            <w:tcW w:w="9212" w:type="dxa"/>
          </w:tcPr>
          <w:p w14:paraId="3A37C23D" w14:textId="6AFD43C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Beschreibung der neuen Methode</w:t>
            </w:r>
          </w:p>
        </w:tc>
      </w:tr>
      <w:tr w:rsidR="008E6675" w:rsidRPr="0062180E" w14:paraId="5696BA9D" w14:textId="77777777">
        <w:tc>
          <w:tcPr>
            <w:tcW w:w="9212" w:type="dxa"/>
          </w:tcPr>
          <w:p w14:paraId="47FEB7B9" w14:textId="77777777" w:rsidR="00482185" w:rsidRPr="0062180E" w:rsidRDefault="00482185" w:rsidP="00482185">
            <w:pPr>
              <w:rPr>
                <w:rFonts w:ascii="Arial Narrow" w:hAnsi="Arial Narrow"/>
                <w:sz w:val="22"/>
              </w:rPr>
            </w:pPr>
            <w:r w:rsidRPr="0062180E">
              <w:rPr>
                <w:rFonts w:ascii="Arial Narrow" w:hAnsi="Arial Narrow"/>
                <w:sz w:val="22"/>
              </w:rPr>
              <w:t xml:space="preserve">Wirkmechanismus </w:t>
            </w:r>
          </w:p>
          <w:p w14:paraId="11DAFCE4" w14:textId="77777777" w:rsidR="00482185" w:rsidRPr="0062180E" w:rsidRDefault="00482185" w:rsidP="00482185">
            <w:pPr>
              <w:rPr>
                <w:rFonts w:ascii="Arial Narrow" w:hAnsi="Arial Narrow"/>
                <w:sz w:val="22"/>
              </w:rPr>
            </w:pPr>
            <w:r w:rsidRPr="0062180E">
              <w:rPr>
                <w:rFonts w:ascii="Arial Narrow" w:hAnsi="Arial Narrow"/>
                <w:sz w:val="22"/>
              </w:rPr>
              <w:t xml:space="preserve">Bei </w:t>
            </w:r>
            <w:proofErr w:type="spellStart"/>
            <w:r w:rsidRPr="0062180E">
              <w:rPr>
                <w:rFonts w:ascii="Arial Narrow" w:hAnsi="Arial Narrow"/>
                <w:sz w:val="22"/>
              </w:rPr>
              <w:t>Tisagenlecleucel</w:t>
            </w:r>
            <w:proofErr w:type="spellEnd"/>
            <w:r w:rsidRPr="0062180E">
              <w:rPr>
                <w:rFonts w:ascii="Arial Narrow" w:hAnsi="Arial Narrow"/>
                <w:sz w:val="22"/>
              </w:rPr>
              <w:t xml:space="preserve"> handelt es sich um eine Form der zellulären Immuntherapie, bei der gentechnisch modifizierte T-Lymphozyten zur Anwendung kommen (CAR-T-Therapie).</w:t>
            </w:r>
          </w:p>
          <w:p w14:paraId="1B3F350A" w14:textId="5DF45FDC" w:rsidR="00EA2E13" w:rsidRPr="0062180E" w:rsidRDefault="00482185" w:rsidP="00482185">
            <w:pPr>
              <w:rPr>
                <w:rFonts w:ascii="Arial Narrow" w:hAnsi="Arial Narrow"/>
                <w:sz w:val="22"/>
              </w:rPr>
            </w:pPr>
            <w:r w:rsidRPr="0062180E">
              <w:rPr>
                <w:rFonts w:ascii="Arial Narrow" w:hAnsi="Arial Narrow"/>
                <w:sz w:val="22"/>
              </w:rPr>
              <w:t xml:space="preserve">Das Verfahren umfasst die Entnahme von peripheren </w:t>
            </w:r>
            <w:proofErr w:type="spellStart"/>
            <w:r w:rsidRPr="0062180E">
              <w:rPr>
                <w:rFonts w:ascii="Arial Narrow" w:hAnsi="Arial Narrow"/>
                <w:sz w:val="22"/>
              </w:rPr>
              <w:t>mononukleären</w:t>
            </w:r>
            <w:proofErr w:type="spellEnd"/>
            <w:r w:rsidRPr="0062180E">
              <w:rPr>
                <w:rFonts w:ascii="Arial Narrow" w:hAnsi="Arial Narrow"/>
                <w:sz w:val="22"/>
              </w:rPr>
              <w:t xml:space="preserve"> Zellen mittels </w:t>
            </w:r>
            <w:proofErr w:type="spellStart"/>
            <w:r w:rsidRPr="0062180E">
              <w:rPr>
                <w:rFonts w:ascii="Arial Narrow" w:hAnsi="Arial Narrow"/>
                <w:sz w:val="22"/>
              </w:rPr>
              <w:t>Apherese</w:t>
            </w:r>
            <w:proofErr w:type="spellEnd"/>
            <w:r w:rsidRPr="0062180E">
              <w:rPr>
                <w:rFonts w:ascii="Arial Narrow" w:hAnsi="Arial Narrow"/>
                <w:sz w:val="22"/>
              </w:rPr>
              <w:t xml:space="preserve"> beim Patienten, deren in-vitro </w:t>
            </w:r>
            <w:proofErr w:type="spellStart"/>
            <w:r w:rsidRPr="0062180E">
              <w:rPr>
                <w:rFonts w:ascii="Arial Narrow" w:hAnsi="Arial Narrow"/>
                <w:sz w:val="22"/>
              </w:rPr>
              <w:t>Transduktion</w:t>
            </w:r>
            <w:proofErr w:type="spellEnd"/>
            <w:r w:rsidRPr="0062180E">
              <w:rPr>
                <w:rFonts w:ascii="Arial Narrow" w:hAnsi="Arial Narrow"/>
                <w:sz w:val="22"/>
              </w:rPr>
              <w:t xml:space="preserve"> mit einem spezifischen T-Zell-aktivierenden </w:t>
            </w:r>
            <w:proofErr w:type="spellStart"/>
            <w:r w:rsidRPr="0062180E">
              <w:rPr>
                <w:rFonts w:ascii="Arial Narrow" w:hAnsi="Arial Narrow"/>
                <w:sz w:val="22"/>
              </w:rPr>
              <w:t>chimären</w:t>
            </w:r>
            <w:proofErr w:type="spellEnd"/>
            <w:r w:rsidRPr="0062180E">
              <w:rPr>
                <w:rFonts w:ascii="Arial Narrow" w:hAnsi="Arial Narrow"/>
                <w:sz w:val="22"/>
              </w:rPr>
              <w:t xml:space="preserve"> Antigenrezeptor (CAR) und ihrer in-vitro Expansion und die anschließende Reinfusion der CAR T-Zellen</w:t>
            </w:r>
            <w:r w:rsidR="00B9358A" w:rsidRPr="0062180E">
              <w:rPr>
                <w:rFonts w:ascii="Arial Narrow" w:hAnsi="Arial Narrow"/>
                <w:sz w:val="22"/>
              </w:rPr>
              <w:t xml:space="preserve">. </w:t>
            </w:r>
            <w:r w:rsidR="00EA2E13" w:rsidRPr="0062180E">
              <w:rPr>
                <w:rFonts w:ascii="Arial Narrow" w:hAnsi="Arial Narrow"/>
                <w:sz w:val="22"/>
              </w:rPr>
              <w:t xml:space="preserve">Der CAR besteht aus einem </w:t>
            </w:r>
            <w:proofErr w:type="spellStart"/>
            <w:r w:rsidR="00EA2E13" w:rsidRPr="0062180E">
              <w:rPr>
                <w:rFonts w:ascii="Arial Narrow" w:hAnsi="Arial Narrow"/>
                <w:sz w:val="22"/>
              </w:rPr>
              <w:t>murinen</w:t>
            </w:r>
            <w:proofErr w:type="spellEnd"/>
            <w:r w:rsidR="00EA2E13" w:rsidRPr="0062180E">
              <w:rPr>
                <w:rFonts w:ascii="Arial Narrow" w:hAnsi="Arial Narrow"/>
                <w:sz w:val="22"/>
              </w:rPr>
              <w:t xml:space="preserve"> Einzelketten-Antikörperfragment, welches CD19 erkennt und mit den intrazellulären Signaldomänen 4-1BB (CD137) und CD3-zeta verbunden ist. Die Komponente CD3-zeta ist wichtig für die Einleitung der T-Zell-Aktivierung und die </w:t>
            </w:r>
            <w:proofErr w:type="spellStart"/>
            <w:r w:rsidR="00EA2E13" w:rsidRPr="0062180E">
              <w:rPr>
                <w:rFonts w:ascii="Arial Narrow" w:hAnsi="Arial Narrow"/>
                <w:sz w:val="22"/>
              </w:rPr>
              <w:t>antitumorale</w:t>
            </w:r>
            <w:proofErr w:type="spellEnd"/>
            <w:r w:rsidR="00EA2E13" w:rsidRPr="0062180E">
              <w:rPr>
                <w:rFonts w:ascii="Arial Narrow" w:hAnsi="Arial Narrow"/>
                <w:sz w:val="22"/>
              </w:rPr>
              <w:t xml:space="preserve"> Aktivität, während 4-1BB die Expansion und Persistenz von </w:t>
            </w:r>
            <w:proofErr w:type="spellStart"/>
            <w:r w:rsidR="00EA2E13" w:rsidRPr="0062180E">
              <w:rPr>
                <w:rFonts w:ascii="Arial Narrow" w:hAnsi="Arial Narrow"/>
                <w:sz w:val="22"/>
              </w:rPr>
              <w:t>Tisagenlecleucel</w:t>
            </w:r>
            <w:proofErr w:type="spellEnd"/>
            <w:r w:rsidR="00EA2E13" w:rsidRPr="0062180E">
              <w:rPr>
                <w:rFonts w:ascii="Arial Narrow" w:hAnsi="Arial Narrow"/>
                <w:sz w:val="22"/>
              </w:rPr>
              <w:t xml:space="preserve"> verbessert. Nach der Bindung an CD19-exprimierende Zellen übermittelt der CAR ein Signal, welches die T-Zell-Expansion und die Persistenz von </w:t>
            </w:r>
            <w:proofErr w:type="spellStart"/>
            <w:r w:rsidR="00EA2E13" w:rsidRPr="0062180E">
              <w:rPr>
                <w:rFonts w:ascii="Arial Narrow" w:hAnsi="Arial Narrow"/>
                <w:sz w:val="22"/>
              </w:rPr>
              <w:t>Tisagenlecleucel</w:t>
            </w:r>
            <w:proofErr w:type="spellEnd"/>
            <w:r w:rsidR="00EA2E13" w:rsidRPr="0062180E">
              <w:rPr>
                <w:rFonts w:ascii="Arial Narrow" w:hAnsi="Arial Narrow"/>
                <w:sz w:val="22"/>
              </w:rPr>
              <w:t xml:space="preserve"> fördert</w:t>
            </w:r>
          </w:p>
          <w:p w14:paraId="030E2368" w14:textId="77777777" w:rsidR="00482185" w:rsidRPr="0062180E" w:rsidRDefault="00482185" w:rsidP="00B9358A">
            <w:pPr>
              <w:rPr>
                <w:rFonts w:ascii="Arial Narrow" w:hAnsi="Arial Narrow"/>
                <w:sz w:val="22"/>
              </w:rPr>
            </w:pPr>
            <w:r w:rsidRPr="0062180E">
              <w:rPr>
                <w:rFonts w:ascii="Arial Narrow" w:hAnsi="Arial Narrow"/>
                <w:sz w:val="22"/>
              </w:rPr>
              <w:t xml:space="preserve">Die Herstellung der CAR T-Zellen (zugelassen als </w:t>
            </w:r>
            <w:proofErr w:type="spellStart"/>
            <w:r w:rsidRPr="0062180E">
              <w:rPr>
                <w:rFonts w:ascii="Arial Narrow" w:hAnsi="Arial Narrow"/>
                <w:sz w:val="22"/>
              </w:rPr>
              <w:t>Tisagenlecleucel</w:t>
            </w:r>
            <w:proofErr w:type="spellEnd"/>
            <w:r w:rsidRPr="0062180E">
              <w:rPr>
                <w:rFonts w:ascii="Arial Narrow" w:hAnsi="Arial Narrow"/>
                <w:sz w:val="22"/>
              </w:rPr>
              <w:t xml:space="preserve">) aus Zellen des </w:t>
            </w:r>
            <w:proofErr w:type="spellStart"/>
            <w:r w:rsidRPr="0062180E">
              <w:rPr>
                <w:rFonts w:ascii="Arial Narrow" w:hAnsi="Arial Narrow"/>
                <w:sz w:val="22"/>
              </w:rPr>
              <w:t>Apheresats</w:t>
            </w:r>
            <w:proofErr w:type="spellEnd"/>
            <w:r w:rsidRPr="0062180E">
              <w:rPr>
                <w:rFonts w:ascii="Arial Narrow" w:hAnsi="Arial Narrow"/>
                <w:sz w:val="22"/>
              </w:rPr>
              <w:t xml:space="preserve"> erfolgt patientenindividuell in einem Labor der Herstellungsfirma. Dabei wird mittels eines Vektors die DNA-Sequenz für den CAR in das Erbgut der T-Zellen eingeschleust. </w:t>
            </w:r>
          </w:p>
          <w:p w14:paraId="1826EC8B" w14:textId="77777777" w:rsidR="00482185" w:rsidRPr="0062180E" w:rsidRDefault="00482185" w:rsidP="00482185">
            <w:pPr>
              <w:rPr>
                <w:rFonts w:ascii="Arial Narrow" w:hAnsi="Arial Narrow"/>
                <w:sz w:val="22"/>
              </w:rPr>
            </w:pPr>
            <w:r w:rsidRPr="0062180E">
              <w:rPr>
                <w:rFonts w:ascii="Arial Narrow" w:hAnsi="Arial Narrow"/>
                <w:sz w:val="22"/>
              </w:rPr>
              <w:t xml:space="preserve">Evidenzlage: Diffus </w:t>
            </w:r>
            <w:proofErr w:type="spellStart"/>
            <w:r w:rsidRPr="0062180E">
              <w:rPr>
                <w:rFonts w:ascii="Arial Narrow" w:hAnsi="Arial Narrow"/>
                <w:sz w:val="22"/>
              </w:rPr>
              <w:t>großzelliges</w:t>
            </w:r>
            <w:proofErr w:type="spellEnd"/>
            <w:r w:rsidRPr="0062180E">
              <w:rPr>
                <w:rFonts w:ascii="Arial Narrow" w:hAnsi="Arial Narrow"/>
                <w:sz w:val="22"/>
              </w:rPr>
              <w:t xml:space="preserve"> B-NHL </w:t>
            </w:r>
          </w:p>
          <w:p w14:paraId="3AAAD14C" w14:textId="75A889E9" w:rsidR="00482185" w:rsidRPr="0062180E" w:rsidRDefault="00482185" w:rsidP="00482185">
            <w:pPr>
              <w:rPr>
                <w:rFonts w:ascii="Arial Narrow" w:hAnsi="Arial Narrow"/>
                <w:sz w:val="22"/>
              </w:rPr>
            </w:pPr>
            <w:r w:rsidRPr="0062180E">
              <w:rPr>
                <w:rFonts w:ascii="Arial Narrow" w:hAnsi="Arial Narrow"/>
                <w:sz w:val="22"/>
              </w:rPr>
              <w:t xml:space="preserve">In der </w:t>
            </w:r>
            <w:r w:rsidR="00EA2E13" w:rsidRPr="0062180E">
              <w:rPr>
                <w:rFonts w:ascii="Arial Narrow" w:hAnsi="Arial Narrow"/>
                <w:sz w:val="22"/>
              </w:rPr>
              <w:t>multizentrischen,</w:t>
            </w:r>
            <w:r w:rsidRPr="0062180E">
              <w:rPr>
                <w:rFonts w:ascii="Arial Narrow" w:hAnsi="Arial Narrow"/>
                <w:sz w:val="22"/>
              </w:rPr>
              <w:t xml:space="preserve"> einarmigen Studie JULIET wurden erwachsene Patienten mit refraktärem bzw. rezidiviertem DLBCL eingeschlossen. Bei 54</w:t>
            </w:r>
            <w:r w:rsidR="00EA2E13" w:rsidRPr="0062180E">
              <w:rPr>
                <w:rFonts w:ascii="Arial Narrow" w:hAnsi="Arial Narrow"/>
                <w:sz w:val="22"/>
              </w:rPr>
              <w:t>,5</w:t>
            </w:r>
            <w:r w:rsidRPr="0062180E">
              <w:rPr>
                <w:rFonts w:ascii="Arial Narrow" w:hAnsi="Arial Narrow"/>
                <w:sz w:val="22"/>
              </w:rPr>
              <w:t xml:space="preserve">% </w:t>
            </w:r>
            <w:r w:rsidR="0086722E" w:rsidRPr="0062180E">
              <w:rPr>
                <w:rFonts w:ascii="Arial Narrow" w:hAnsi="Arial Narrow"/>
                <w:sz w:val="22"/>
              </w:rPr>
              <w:t xml:space="preserve">(95% KI 44,2;64,6) </w:t>
            </w:r>
            <w:r w:rsidRPr="0062180E">
              <w:rPr>
                <w:rFonts w:ascii="Arial Narrow" w:hAnsi="Arial Narrow"/>
                <w:sz w:val="22"/>
              </w:rPr>
              <w:t>der 99 Patienten für die der Endpunkt analysiert wurde (167 Patienten waren in die Studie eingeschlossen und 115 infundiert) wurde eine Remission der Erkrankung erzielt</w:t>
            </w:r>
            <w:r w:rsidR="0086722E" w:rsidRPr="0062180E">
              <w:rPr>
                <w:rFonts w:ascii="Arial Narrow" w:hAnsi="Arial Narrow"/>
                <w:sz w:val="22"/>
              </w:rPr>
              <w:t>.</w:t>
            </w:r>
            <w:r w:rsidR="00B9358A" w:rsidRPr="0062180E" w:rsidDel="00B9358A">
              <w:rPr>
                <w:rFonts w:ascii="Arial Narrow" w:hAnsi="Arial Narrow"/>
                <w:sz w:val="22"/>
              </w:rPr>
              <w:t xml:space="preserve"> </w:t>
            </w:r>
          </w:p>
          <w:p w14:paraId="462C26B4" w14:textId="77777777" w:rsidR="00482185" w:rsidRPr="0062180E" w:rsidRDefault="00482185" w:rsidP="00482185">
            <w:pPr>
              <w:rPr>
                <w:rFonts w:ascii="Arial Narrow" w:hAnsi="Arial Narrow"/>
                <w:sz w:val="22"/>
              </w:rPr>
            </w:pPr>
            <w:r w:rsidRPr="0062180E">
              <w:rPr>
                <w:rFonts w:ascii="Arial Narrow" w:hAnsi="Arial Narrow"/>
                <w:sz w:val="22"/>
              </w:rPr>
              <w:t>Evidenzlage: ALL bei Patienten bis einschließlich 25 Jahren</w:t>
            </w:r>
          </w:p>
          <w:p w14:paraId="3E740703" w14:textId="6FECA085" w:rsidR="009D6365" w:rsidRPr="00251296" w:rsidRDefault="009D6365" w:rsidP="009D636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51296">
              <w:rPr>
                <w:rFonts w:ascii="Arial Narrow" w:hAnsi="Arial Narrow" w:cs="Arial"/>
                <w:sz w:val="22"/>
                <w:szCs w:val="22"/>
              </w:rPr>
              <w:t xml:space="preserve">In der ELIANA Studie (Maude et al, New Engl J Med. 2018; 378(5):439-48) mit 75 Patienten mit rezidivierender oder refraktärer ALL zeigte sich bei 81% der Patienten innerhalb von drei Monaten eine komplette Remission ohne nachweisbare minimale Resterkrankung (MRD).  </w:t>
            </w:r>
          </w:p>
          <w:p w14:paraId="2A98AEBB" w14:textId="043DD815" w:rsidR="009D6365" w:rsidRPr="00AB6364" w:rsidRDefault="009D6365" w:rsidP="009D6365">
            <w:pPr>
              <w:rPr>
                <w:rFonts w:ascii="Arial Narrow" w:hAnsi="Arial Narrow"/>
                <w:sz w:val="22"/>
              </w:rPr>
            </w:pPr>
            <w:r w:rsidRPr="00251296">
              <w:rPr>
                <w:rFonts w:ascii="Arial Narrow" w:hAnsi="Arial Narrow" w:cs="Arial"/>
                <w:sz w:val="22"/>
                <w:szCs w:val="22"/>
              </w:rPr>
              <w:t>Die Gesamtüberlebensrate zum Zeitpunkt 12 Monate betrug 76%, wobei die mediane Dauer des Ansprechens nicht erreicht wurde.</w:t>
            </w:r>
          </w:p>
          <w:p w14:paraId="72153DB5" w14:textId="77777777" w:rsidR="00482185" w:rsidRPr="0062180E" w:rsidRDefault="00482185" w:rsidP="00482185">
            <w:pPr>
              <w:rPr>
                <w:rFonts w:ascii="Arial Narrow" w:hAnsi="Arial Narrow" w:cs="Arial"/>
                <w:sz w:val="22"/>
              </w:rPr>
            </w:pPr>
            <w:r w:rsidRPr="0062180E">
              <w:rPr>
                <w:rFonts w:ascii="Arial Narrow" w:hAnsi="Arial Narrow"/>
                <w:sz w:val="22"/>
              </w:rPr>
              <w:t>Evidenzlage:</w:t>
            </w:r>
            <w:r w:rsidRPr="0062180E">
              <w:rPr>
                <w:rFonts w:ascii="Arial Narrow" w:hAnsi="Arial Narrow" w:cs="Arial"/>
                <w:sz w:val="22"/>
              </w:rPr>
              <w:t xml:space="preserve"> rezidiviertes/refraktäres </w:t>
            </w:r>
            <w:proofErr w:type="spellStart"/>
            <w:r w:rsidRPr="0062180E">
              <w:rPr>
                <w:rFonts w:ascii="Arial Narrow" w:hAnsi="Arial Narrow" w:cs="Arial"/>
                <w:sz w:val="22"/>
              </w:rPr>
              <w:t>iNHL</w:t>
            </w:r>
            <w:proofErr w:type="spellEnd"/>
            <w:r w:rsidRPr="0062180E">
              <w:rPr>
                <w:rFonts w:ascii="Arial Narrow" w:hAnsi="Arial Narrow" w:cs="Arial"/>
                <w:sz w:val="22"/>
              </w:rPr>
              <w:t xml:space="preserve"> vom histologischen Subtyp FL </w:t>
            </w:r>
          </w:p>
          <w:p w14:paraId="2CA263F7" w14:textId="36ABE23E" w:rsidR="00482185" w:rsidRPr="0062180E" w:rsidRDefault="00482185" w:rsidP="00482185">
            <w:pPr>
              <w:rPr>
                <w:rFonts w:ascii="Arial Narrow" w:hAnsi="Arial Narrow"/>
                <w:sz w:val="22"/>
              </w:rPr>
            </w:pPr>
            <w:r w:rsidRPr="0062180E">
              <w:rPr>
                <w:rFonts w:ascii="Arial Narrow" w:hAnsi="Arial Narrow"/>
                <w:sz w:val="22"/>
              </w:rPr>
              <w:t xml:space="preserve">In der </w:t>
            </w:r>
            <w:r w:rsidR="0086722E" w:rsidRPr="0062180E">
              <w:rPr>
                <w:rFonts w:ascii="Arial Narrow" w:hAnsi="Arial Narrow"/>
                <w:sz w:val="22"/>
              </w:rPr>
              <w:t xml:space="preserve">offenen, einarmigen multizentrischen </w:t>
            </w:r>
            <w:proofErr w:type="spellStart"/>
            <w:r w:rsidRPr="0062180E">
              <w:rPr>
                <w:rFonts w:ascii="Arial Narrow" w:hAnsi="Arial Narrow"/>
                <w:sz w:val="22"/>
              </w:rPr>
              <w:t>Elara</w:t>
            </w:r>
            <w:proofErr w:type="spellEnd"/>
            <w:r w:rsidRPr="0062180E">
              <w:rPr>
                <w:rFonts w:ascii="Arial Narrow" w:hAnsi="Arial Narrow"/>
                <w:sz w:val="22"/>
              </w:rPr>
              <w:t>-Studie wurden 98 Patienten eingeschlossen, bei denen in 6</w:t>
            </w:r>
            <w:r w:rsidR="002A242F" w:rsidRPr="0062180E">
              <w:rPr>
                <w:rFonts w:ascii="Arial Narrow" w:hAnsi="Arial Narrow"/>
                <w:sz w:val="22"/>
              </w:rPr>
              <w:t xml:space="preserve">8,4 </w:t>
            </w:r>
            <w:r w:rsidRPr="0062180E">
              <w:rPr>
                <w:rFonts w:ascii="Arial Narrow" w:hAnsi="Arial Narrow"/>
                <w:sz w:val="22"/>
              </w:rPr>
              <w:t>%</w:t>
            </w:r>
            <w:r w:rsidR="002A242F" w:rsidRPr="0062180E">
              <w:rPr>
                <w:rFonts w:ascii="Arial Narrow" w:hAnsi="Arial Narrow"/>
                <w:sz w:val="22"/>
              </w:rPr>
              <w:t xml:space="preserve"> (95% KI 58,2;77,4) </w:t>
            </w:r>
            <w:r w:rsidRPr="0062180E">
              <w:rPr>
                <w:rFonts w:ascii="Arial Narrow" w:hAnsi="Arial Narrow"/>
                <w:sz w:val="22"/>
              </w:rPr>
              <w:t xml:space="preserve"> eine komplette Remission erreicht wurde </w:t>
            </w:r>
            <w:r w:rsidR="002A242F" w:rsidRPr="0062180E">
              <w:rPr>
                <w:rFonts w:ascii="Arial Narrow" w:hAnsi="Arial Narrow"/>
                <w:sz w:val="22"/>
              </w:rPr>
              <w:t>Quelle: Fachinformation Stand April 2023</w:t>
            </w:r>
            <w:r w:rsidR="004E6D00" w:rsidRPr="0062180E">
              <w:rPr>
                <w:rFonts w:ascii="Arial Narrow" w:hAnsi="Arial Narrow"/>
                <w:sz w:val="22"/>
              </w:rPr>
              <w:t>.</w:t>
            </w:r>
          </w:p>
          <w:p w14:paraId="0AF79188" w14:textId="0F12A161" w:rsidR="00DB14F4" w:rsidRPr="0062180E" w:rsidRDefault="00482185" w:rsidP="00482185">
            <w:pPr>
              <w:rPr>
                <w:rFonts w:ascii="Arial Narrow" w:hAnsi="Arial Narrow"/>
                <w:lang w:val="de-CH"/>
              </w:rPr>
            </w:pPr>
            <w:r w:rsidRPr="0062180E">
              <w:rPr>
                <w:rFonts w:ascii="Arial Narrow" w:hAnsi="Arial Narrow"/>
                <w:sz w:val="22"/>
              </w:rPr>
              <w:t>Dosis: Einmalgabe des patientenspezifisch hergestellten Zellprodukts.</w:t>
            </w:r>
          </w:p>
        </w:tc>
      </w:tr>
    </w:tbl>
    <w:p w14:paraId="6F81F951" w14:textId="77777777" w:rsidR="008E6675" w:rsidRPr="0062180E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2180E" w14:paraId="73F33158" w14:textId="77777777">
        <w:tc>
          <w:tcPr>
            <w:tcW w:w="9212" w:type="dxa"/>
          </w:tcPr>
          <w:p w14:paraId="684681EC" w14:textId="7F246CCE" w:rsidR="008E6675" w:rsidRPr="0062180E" w:rsidRDefault="008E6675" w:rsidP="005638EB">
            <w:pPr>
              <w:rPr>
                <w:rFonts w:ascii="Arial Narrow" w:hAnsi="Arial Narrow"/>
                <w:b/>
              </w:rPr>
            </w:pPr>
            <w:r w:rsidRPr="0062180E">
              <w:rPr>
                <w:rFonts w:ascii="Arial Narrow" w:hAnsi="Arial Narrow"/>
                <w:b/>
                <w:sz w:val="22"/>
              </w:rPr>
              <w:t>Mit welchem OPS wird die Methode verschlüsselt?</w:t>
            </w:r>
          </w:p>
        </w:tc>
      </w:tr>
      <w:tr w:rsidR="008E6675" w:rsidRPr="0062180E" w14:paraId="5C95386E" w14:textId="77777777">
        <w:tc>
          <w:tcPr>
            <w:tcW w:w="9212" w:type="dxa"/>
          </w:tcPr>
          <w:p w14:paraId="3C8AAD06" w14:textId="77777777" w:rsidR="001363FF" w:rsidRDefault="001363FF" w:rsidP="0043558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6-00h.5</w:t>
            </w:r>
          </w:p>
          <w:p w14:paraId="74E2809C" w14:textId="77777777" w:rsidR="001363FF" w:rsidRDefault="00482185" w:rsidP="00435583">
            <w:pPr>
              <w:rPr>
                <w:rFonts w:ascii="Arial Narrow" w:hAnsi="Arial Narrow"/>
                <w:sz w:val="22"/>
              </w:rPr>
            </w:pPr>
            <w:r w:rsidRPr="0062180E">
              <w:rPr>
                <w:rFonts w:ascii="Arial Narrow" w:hAnsi="Arial Narrow"/>
                <w:sz w:val="22"/>
              </w:rPr>
              <w:t>8-802.24</w:t>
            </w:r>
          </w:p>
          <w:p w14:paraId="276EB151" w14:textId="5D3F6C0B" w:rsidR="00CC7E5F" w:rsidRPr="0062180E" w:rsidRDefault="00482185">
            <w:pPr>
              <w:rPr>
                <w:rFonts w:ascii="Arial Narrow" w:hAnsi="Arial Narrow"/>
                <w:sz w:val="22"/>
              </w:rPr>
            </w:pPr>
            <w:r w:rsidRPr="0062180E">
              <w:rPr>
                <w:rFonts w:ascii="Arial Narrow" w:hAnsi="Arial Narrow"/>
                <w:sz w:val="22"/>
              </w:rPr>
              <w:t>8-802.34</w:t>
            </w:r>
          </w:p>
        </w:tc>
      </w:tr>
    </w:tbl>
    <w:p w14:paraId="63A2C327" w14:textId="77777777" w:rsidR="00DC6CBD" w:rsidRPr="0062180E" w:rsidRDefault="00DC6CBD" w:rsidP="00EE0D0B">
      <w:pPr>
        <w:jc w:val="center"/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62180E" w14:paraId="1C363EAC" w14:textId="77777777" w:rsidTr="00482185">
        <w:tc>
          <w:tcPr>
            <w:tcW w:w="9212" w:type="dxa"/>
          </w:tcPr>
          <w:p w14:paraId="76259E49" w14:textId="0E1E9B3E" w:rsidR="004C4F82" w:rsidRPr="0062180E" w:rsidRDefault="002333FF" w:rsidP="0036178C">
            <w:pPr>
              <w:rPr>
                <w:rFonts w:ascii="Arial Narrow" w:hAnsi="Arial Narrow"/>
                <w:b/>
              </w:rPr>
            </w:pPr>
            <w:r w:rsidRPr="0062180E">
              <w:rPr>
                <w:rFonts w:ascii="Arial Narrow" w:hAnsi="Arial Narrow"/>
                <w:b/>
                <w:sz w:val="22"/>
              </w:rPr>
              <w:t>Anmerkungen zu den Proz</w:t>
            </w:r>
            <w:r w:rsidR="004C4F82" w:rsidRPr="0062180E">
              <w:rPr>
                <w:rFonts w:ascii="Arial Narrow" w:hAnsi="Arial Narrow"/>
                <w:b/>
                <w:sz w:val="22"/>
              </w:rPr>
              <w:t>eduren</w:t>
            </w:r>
          </w:p>
        </w:tc>
      </w:tr>
      <w:tr w:rsidR="00482185" w:rsidRPr="0062180E" w14:paraId="131FE40C" w14:textId="77777777" w:rsidTr="00482185">
        <w:tc>
          <w:tcPr>
            <w:tcW w:w="9212" w:type="dxa"/>
          </w:tcPr>
          <w:p w14:paraId="0135FA74" w14:textId="5F530A85" w:rsidR="00482185" w:rsidRPr="0062180E" w:rsidRDefault="00482185" w:rsidP="00482185">
            <w:pPr>
              <w:rPr>
                <w:rFonts w:ascii="Arial Narrow" w:hAnsi="Arial Narrow"/>
                <w:sz w:val="22"/>
              </w:rPr>
            </w:pPr>
            <w:r w:rsidRPr="0062180E">
              <w:rPr>
                <w:rFonts w:ascii="Arial Narrow" w:hAnsi="Arial Narrow"/>
                <w:sz w:val="22"/>
              </w:rPr>
              <w:t xml:space="preserve">Zusatzschlüssel: </w:t>
            </w:r>
            <w:r w:rsidR="001363FF">
              <w:rPr>
                <w:rFonts w:ascii="Arial Narrow" w:hAnsi="Arial Narrow"/>
                <w:sz w:val="22"/>
              </w:rPr>
              <w:t xml:space="preserve">8-802.24 für CAR-T-Zellen und </w:t>
            </w:r>
            <w:r w:rsidRPr="0062180E">
              <w:rPr>
                <w:rFonts w:ascii="Arial Narrow" w:hAnsi="Arial Narrow"/>
                <w:sz w:val="22"/>
              </w:rPr>
              <w:t>5-936.1 Internationale Zulassung</w:t>
            </w:r>
          </w:p>
          <w:p w14:paraId="48201DB1" w14:textId="68DAA79B" w:rsidR="00482185" w:rsidRPr="0062180E" w:rsidRDefault="00482185" w:rsidP="004821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97C648B" w14:textId="77777777" w:rsidR="004C4F82" w:rsidRPr="0062180E" w:rsidRDefault="004C4F82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2180E" w14:paraId="1C579B85" w14:textId="77777777">
        <w:tc>
          <w:tcPr>
            <w:tcW w:w="9212" w:type="dxa"/>
          </w:tcPr>
          <w:p w14:paraId="442A0D93" w14:textId="77777777" w:rsidR="008E6675" w:rsidRPr="0062180E" w:rsidRDefault="008E6675" w:rsidP="005638EB">
            <w:pPr>
              <w:rPr>
                <w:rFonts w:ascii="Arial Narrow" w:hAnsi="Arial Narrow"/>
                <w:b/>
              </w:rPr>
            </w:pPr>
            <w:r w:rsidRPr="0062180E">
              <w:rPr>
                <w:rFonts w:ascii="Arial Narrow" w:hAnsi="Arial Narrow"/>
                <w:b/>
                <w:sz w:val="22"/>
              </w:rPr>
              <w:t>Bei welchen Patienten wird die Methode angewandt (Indikation)?</w:t>
            </w:r>
          </w:p>
        </w:tc>
      </w:tr>
      <w:tr w:rsidR="008E6675" w:rsidRPr="007F255B" w14:paraId="158F0243" w14:textId="77777777">
        <w:tc>
          <w:tcPr>
            <w:tcW w:w="9212" w:type="dxa"/>
          </w:tcPr>
          <w:p w14:paraId="017DC15E" w14:textId="58C5B61E" w:rsidR="00482185" w:rsidRPr="0062180E" w:rsidRDefault="00B9358A" w:rsidP="00482185">
            <w:pPr>
              <w:rPr>
                <w:rFonts w:ascii="Arial Narrow" w:hAnsi="Arial Narrow"/>
                <w:sz w:val="22"/>
              </w:rPr>
            </w:pPr>
            <w:proofErr w:type="spellStart"/>
            <w:r w:rsidRPr="0062180E">
              <w:rPr>
                <w:rFonts w:ascii="Arial Narrow" w:hAnsi="Arial Narrow"/>
                <w:sz w:val="22"/>
              </w:rPr>
              <w:t>Tisagenlecleucel</w:t>
            </w:r>
            <w:proofErr w:type="spellEnd"/>
            <w:r w:rsidRPr="0062180E">
              <w:rPr>
                <w:rFonts w:ascii="Arial Narrow" w:hAnsi="Arial Narrow"/>
                <w:sz w:val="22"/>
              </w:rPr>
              <w:t xml:space="preserve"> wird angewendet bei</w:t>
            </w:r>
            <w:r w:rsidRPr="0062180E">
              <w:rPr>
                <w:rFonts w:ascii="Arial Narrow" w:hAnsi="Arial Narrow"/>
                <w:sz w:val="22"/>
              </w:rPr>
              <w:br/>
            </w:r>
            <w:r w:rsidR="00A150C7" w:rsidRPr="0062180E">
              <w:rPr>
                <w:rFonts w:ascii="Arial Narrow" w:hAnsi="Arial Narrow"/>
                <w:sz w:val="22"/>
              </w:rPr>
              <w:t>.</w:t>
            </w:r>
            <w:r w:rsidR="00FB1394" w:rsidRPr="0062180E">
              <w:rPr>
                <w:rFonts w:ascii="Arial Narrow" w:hAnsi="Arial Narrow"/>
                <w:sz w:val="22"/>
              </w:rPr>
              <w:t>-</w:t>
            </w:r>
            <w:r w:rsidR="00482185" w:rsidRPr="0062180E">
              <w:rPr>
                <w:rFonts w:ascii="Arial Narrow" w:hAnsi="Arial Narrow"/>
                <w:sz w:val="22"/>
              </w:rPr>
              <w:t>Kindern, Jugendlichen und jungen erwachsenen Patienten im Alter bis einschließlich 25 Jahre mit refraktärer oder rezidivierter (Rezidiv nach Transplantation oder zweites oder späteres Rezidiv) akuter lymphatischer B-Zell-Leukämie (ALL).</w:t>
            </w:r>
          </w:p>
          <w:p w14:paraId="506FE55A" w14:textId="0A3DF5EE" w:rsidR="00482185" w:rsidRPr="0062180E" w:rsidRDefault="00FB1394" w:rsidP="00482185">
            <w:pPr>
              <w:rPr>
                <w:rFonts w:ascii="Arial Narrow" w:hAnsi="Arial Narrow"/>
                <w:sz w:val="22"/>
              </w:rPr>
            </w:pPr>
            <w:r w:rsidRPr="0062180E">
              <w:rPr>
                <w:rFonts w:ascii="Arial Narrow" w:hAnsi="Arial Narrow"/>
                <w:sz w:val="22"/>
              </w:rPr>
              <w:t>-</w:t>
            </w:r>
            <w:r w:rsidR="00482185" w:rsidRPr="0062180E">
              <w:rPr>
                <w:rFonts w:ascii="Arial Narrow" w:hAnsi="Arial Narrow"/>
                <w:sz w:val="22"/>
              </w:rPr>
              <w:t xml:space="preserve">Erwachsenen Patienten mit rezidiviertem oder refraktärem diffus </w:t>
            </w:r>
            <w:proofErr w:type="spellStart"/>
            <w:r w:rsidR="00482185" w:rsidRPr="0062180E">
              <w:rPr>
                <w:rFonts w:ascii="Arial Narrow" w:hAnsi="Arial Narrow"/>
                <w:sz w:val="22"/>
              </w:rPr>
              <w:t>großzelligen</w:t>
            </w:r>
            <w:proofErr w:type="spellEnd"/>
            <w:r w:rsidR="00482185" w:rsidRPr="0062180E">
              <w:rPr>
                <w:rFonts w:ascii="Arial Narrow" w:hAnsi="Arial Narrow"/>
                <w:sz w:val="22"/>
              </w:rPr>
              <w:t xml:space="preserve"> B-Zell-Lymphom (DLBCL) nach zwei oder mehr Linien einer systemischen Therapie</w:t>
            </w:r>
            <w:r w:rsidR="00EA2E13" w:rsidRPr="0062180E">
              <w:rPr>
                <w:rFonts w:ascii="Arial Narrow" w:hAnsi="Arial Narrow"/>
                <w:sz w:val="22"/>
              </w:rPr>
              <w:t>.</w:t>
            </w:r>
            <w:r w:rsidR="00482185" w:rsidRPr="0062180E">
              <w:rPr>
                <w:rFonts w:ascii="Arial Narrow" w:hAnsi="Arial Narrow"/>
                <w:sz w:val="22"/>
              </w:rPr>
              <w:t>..</w:t>
            </w:r>
          </w:p>
          <w:p w14:paraId="606B75B1" w14:textId="33E8795C" w:rsidR="008E6675" w:rsidRPr="007F255B" w:rsidRDefault="00482185" w:rsidP="00482185">
            <w:pPr>
              <w:rPr>
                <w:rFonts w:ascii="Arial Narrow" w:hAnsi="Arial Narrow"/>
                <w:sz w:val="22"/>
                <w:szCs w:val="22"/>
              </w:rPr>
            </w:pPr>
            <w:r w:rsidRPr="0062180E">
              <w:rPr>
                <w:rFonts w:ascii="Arial Narrow" w:hAnsi="Arial Narrow" w:cs="Arial"/>
                <w:sz w:val="22"/>
                <w:szCs w:val="22"/>
              </w:rPr>
              <w:t>Erwachsene Patienten mit rezidiviertem oder refraktärem follikulären Lymphom (FL) nach zwei oder mehrerer Linien einer systemischen Therapie.</w:t>
            </w:r>
          </w:p>
        </w:tc>
      </w:tr>
    </w:tbl>
    <w:p w14:paraId="2A567A9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bestehende Methode wird durch die neue Methode abgelöst oder ergänzt?</w:t>
            </w:r>
          </w:p>
        </w:tc>
      </w:tr>
      <w:tr w:rsidR="008E6675" w:rsidRPr="0062180E" w14:paraId="6B0057FA" w14:textId="77777777">
        <w:tc>
          <w:tcPr>
            <w:tcW w:w="9212" w:type="dxa"/>
          </w:tcPr>
          <w:p w14:paraId="3EF52B42" w14:textId="78849DCD" w:rsidR="00482185" w:rsidRPr="0062180E" w:rsidRDefault="00482185" w:rsidP="00482185">
            <w:pPr>
              <w:rPr>
                <w:rFonts w:ascii="Arial Narrow" w:hAnsi="Arial Narrow"/>
                <w:sz w:val="22"/>
              </w:rPr>
            </w:pPr>
            <w:r w:rsidRPr="0062180E">
              <w:rPr>
                <w:rFonts w:ascii="Arial Narrow" w:hAnsi="Arial Narrow" w:cs="Arial"/>
                <w:sz w:val="22"/>
                <w:szCs w:val="22"/>
              </w:rPr>
              <w:t xml:space="preserve">Es handelt sich um eine </w:t>
            </w:r>
            <w:r w:rsidRPr="0062180E">
              <w:rPr>
                <w:rFonts w:ascii="Arial Narrow" w:hAnsi="Arial Narrow"/>
                <w:sz w:val="22"/>
                <w:szCs w:val="22"/>
              </w:rPr>
              <w:t>Ergänzung zu den bestehenden</w:t>
            </w:r>
            <w:r w:rsidRPr="0062180E">
              <w:rPr>
                <w:rFonts w:ascii="Arial Narrow" w:hAnsi="Arial Narrow"/>
                <w:color w:val="00B050"/>
                <w:sz w:val="22"/>
                <w:szCs w:val="22"/>
              </w:rPr>
              <w:t xml:space="preserve"> </w:t>
            </w:r>
            <w:r w:rsidRPr="0062180E">
              <w:rPr>
                <w:rFonts w:ascii="Arial Narrow" w:hAnsi="Arial Narrow"/>
                <w:sz w:val="22"/>
                <w:szCs w:val="22"/>
              </w:rPr>
              <w:t>Behandlungsmöglichkeiten.</w:t>
            </w:r>
            <w:r w:rsidRPr="0062180E">
              <w:rPr>
                <w:rFonts w:ascii="Arial Narrow" w:hAnsi="Arial Narrow" w:cs="Arial"/>
                <w:sz w:val="22"/>
                <w:szCs w:val="22"/>
              </w:rPr>
              <w:t xml:space="preserve"> Eine </w:t>
            </w:r>
            <w:proofErr w:type="spellStart"/>
            <w:r w:rsidRPr="0062180E">
              <w:rPr>
                <w:rFonts w:ascii="Arial Narrow" w:hAnsi="Arial Narrow" w:cs="Arial"/>
                <w:sz w:val="22"/>
                <w:szCs w:val="22"/>
              </w:rPr>
              <w:t>allogene</w:t>
            </w:r>
            <w:proofErr w:type="spellEnd"/>
            <w:r w:rsidRPr="0062180E">
              <w:rPr>
                <w:rFonts w:ascii="Arial Narrow" w:hAnsi="Arial Narrow" w:cs="Arial"/>
                <w:sz w:val="22"/>
                <w:szCs w:val="22"/>
              </w:rPr>
              <w:t xml:space="preserve"> Stammzelltransplantation kann mit der CAR-T-Zelltherapie in vielen Fällen vermieden werden.</w:t>
            </w:r>
          </w:p>
          <w:p w14:paraId="5A877531" w14:textId="77777777" w:rsidR="001363FF" w:rsidRPr="001363FF" w:rsidRDefault="00482185" w:rsidP="001363FF">
            <w:pPr>
              <w:rPr>
                <w:rFonts w:ascii="Arial Narrow" w:hAnsi="Arial Narrow"/>
                <w:sz w:val="22"/>
              </w:rPr>
            </w:pPr>
            <w:r w:rsidRPr="0062180E">
              <w:rPr>
                <w:rFonts w:ascii="Arial Narrow" w:hAnsi="Arial Narrow"/>
                <w:sz w:val="22"/>
              </w:rPr>
              <w:t xml:space="preserve">Für bestimmte Indikationen wie diffus </w:t>
            </w:r>
            <w:proofErr w:type="spellStart"/>
            <w:r w:rsidRPr="0062180E">
              <w:rPr>
                <w:rFonts w:ascii="Arial Narrow" w:hAnsi="Arial Narrow"/>
                <w:sz w:val="22"/>
              </w:rPr>
              <w:t>großzelliges</w:t>
            </w:r>
            <w:proofErr w:type="spellEnd"/>
            <w:r w:rsidRPr="0062180E">
              <w:rPr>
                <w:rFonts w:ascii="Arial Narrow" w:hAnsi="Arial Narrow"/>
                <w:sz w:val="22"/>
              </w:rPr>
              <w:t xml:space="preserve"> NHL und teilweise beim follikulären Lymphom besteht eine Überschneidung der Zulassung mit </w:t>
            </w:r>
            <w:proofErr w:type="spellStart"/>
            <w:r w:rsidRPr="0062180E">
              <w:rPr>
                <w:rFonts w:ascii="Arial Narrow" w:hAnsi="Arial Narrow"/>
                <w:sz w:val="22"/>
              </w:rPr>
              <w:t>Axicabtagen</w:t>
            </w:r>
            <w:proofErr w:type="spellEnd"/>
            <w:r w:rsidRPr="0062180E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62180E">
              <w:rPr>
                <w:rFonts w:ascii="Arial Narrow" w:hAnsi="Arial Narrow"/>
                <w:sz w:val="22"/>
              </w:rPr>
              <w:t>Ciloleucel</w:t>
            </w:r>
            <w:proofErr w:type="spellEnd"/>
            <w:r w:rsidRPr="0062180E">
              <w:rPr>
                <w:rFonts w:ascii="Arial Narrow" w:hAnsi="Arial Narrow"/>
                <w:sz w:val="22"/>
              </w:rPr>
              <w:t xml:space="preserve"> und </w:t>
            </w:r>
            <w:proofErr w:type="spellStart"/>
            <w:r w:rsidRPr="0062180E">
              <w:rPr>
                <w:rFonts w:ascii="Arial Narrow" w:hAnsi="Arial Narrow"/>
                <w:sz w:val="22"/>
              </w:rPr>
              <w:t>Lisocabtagen-Maraleucel</w:t>
            </w:r>
            <w:proofErr w:type="spellEnd"/>
            <w:r w:rsidRPr="0062180E">
              <w:rPr>
                <w:rFonts w:ascii="Arial Narrow" w:hAnsi="Arial Narrow"/>
                <w:sz w:val="22"/>
              </w:rPr>
              <w:t xml:space="preserve">, bei anderen Indikationen auch mit </w:t>
            </w:r>
            <w:proofErr w:type="spellStart"/>
            <w:r w:rsidRPr="0062180E">
              <w:rPr>
                <w:rFonts w:ascii="Arial Narrow" w:hAnsi="Arial Narrow"/>
                <w:sz w:val="22"/>
              </w:rPr>
              <w:t>Eigenherstellungen</w:t>
            </w:r>
            <w:proofErr w:type="spellEnd"/>
            <w:r w:rsidRPr="0062180E">
              <w:rPr>
                <w:rFonts w:ascii="Arial Narrow" w:hAnsi="Arial Narrow"/>
                <w:sz w:val="22"/>
              </w:rPr>
              <w:t>.</w:t>
            </w:r>
            <w:r w:rsidR="001363FF">
              <w:rPr>
                <w:rFonts w:ascii="Arial Narrow" w:hAnsi="Arial Narrow"/>
                <w:sz w:val="22"/>
              </w:rPr>
              <w:t xml:space="preserve"> </w:t>
            </w:r>
            <w:r w:rsidR="001363FF" w:rsidRPr="001363FF">
              <w:rPr>
                <w:rFonts w:ascii="Arial Narrow" w:hAnsi="Arial Narrow"/>
                <w:sz w:val="22"/>
              </w:rPr>
              <w:t xml:space="preserve">Weitere neuere Therapien sind </w:t>
            </w:r>
            <w:proofErr w:type="spellStart"/>
            <w:r w:rsidR="001363FF" w:rsidRPr="001363FF">
              <w:rPr>
                <w:rFonts w:ascii="Arial Narrow" w:hAnsi="Arial Narrow"/>
                <w:sz w:val="22"/>
              </w:rPr>
              <w:t>bispezifische</w:t>
            </w:r>
            <w:proofErr w:type="spellEnd"/>
            <w:r w:rsidR="001363FF" w:rsidRPr="001363FF">
              <w:rPr>
                <w:rFonts w:ascii="Arial Narrow" w:hAnsi="Arial Narrow"/>
                <w:sz w:val="22"/>
              </w:rPr>
              <w:t xml:space="preserve"> bzw. modifizierte </w:t>
            </w:r>
          </w:p>
          <w:p w14:paraId="3EC3722F" w14:textId="51A26D91" w:rsidR="008E6675" w:rsidRPr="0062180E" w:rsidRDefault="001363FF" w:rsidP="001363FF">
            <w:pPr>
              <w:rPr>
                <w:rFonts w:ascii="Arial Narrow" w:hAnsi="Arial Narrow"/>
                <w:color w:val="00B050"/>
                <w:sz w:val="22"/>
                <w:szCs w:val="22"/>
              </w:rPr>
            </w:pPr>
            <w:r w:rsidRPr="001363FF">
              <w:rPr>
                <w:rFonts w:ascii="Arial Narrow" w:hAnsi="Arial Narrow"/>
                <w:sz w:val="22"/>
              </w:rPr>
              <w:t xml:space="preserve">Antikörper wie </w:t>
            </w:r>
            <w:proofErr w:type="spellStart"/>
            <w:r w:rsidRPr="001363FF">
              <w:rPr>
                <w:rFonts w:ascii="Arial Narrow" w:hAnsi="Arial Narrow"/>
                <w:sz w:val="22"/>
              </w:rPr>
              <w:t>Epcoritamab</w:t>
            </w:r>
            <w:proofErr w:type="spellEnd"/>
            <w:r w:rsidRPr="001363FF">
              <w:rPr>
                <w:rFonts w:ascii="Arial Narrow" w:hAnsi="Arial Narrow"/>
                <w:sz w:val="22"/>
              </w:rPr>
              <w:t xml:space="preserve">, </w:t>
            </w:r>
            <w:proofErr w:type="spellStart"/>
            <w:r w:rsidRPr="001363FF">
              <w:rPr>
                <w:rFonts w:ascii="Arial Narrow" w:hAnsi="Arial Narrow"/>
                <w:sz w:val="22"/>
              </w:rPr>
              <w:t>Loncastuximab-Tesirin</w:t>
            </w:r>
            <w:proofErr w:type="spellEnd"/>
            <w:r w:rsidRPr="001363FF">
              <w:rPr>
                <w:rFonts w:ascii="Arial Narrow" w:hAnsi="Arial Narrow"/>
                <w:sz w:val="22"/>
              </w:rPr>
              <w:t xml:space="preserve">, </w:t>
            </w:r>
            <w:proofErr w:type="spellStart"/>
            <w:r w:rsidRPr="001363FF">
              <w:rPr>
                <w:rFonts w:ascii="Arial Narrow" w:hAnsi="Arial Narrow"/>
                <w:sz w:val="22"/>
              </w:rPr>
              <w:t>Glofitamab</w:t>
            </w:r>
            <w:proofErr w:type="spellEnd"/>
            <w:r w:rsidRPr="001363FF">
              <w:rPr>
                <w:rFonts w:ascii="Arial Narrow" w:hAnsi="Arial Narrow"/>
                <w:sz w:val="22"/>
              </w:rPr>
              <w:t xml:space="preserve"> und </w:t>
            </w:r>
            <w:proofErr w:type="spellStart"/>
            <w:r w:rsidRPr="001363FF">
              <w:rPr>
                <w:rFonts w:ascii="Arial Narrow" w:hAnsi="Arial Narrow"/>
                <w:sz w:val="22"/>
              </w:rPr>
              <w:t>Tafasitamab</w:t>
            </w:r>
            <w:proofErr w:type="spellEnd"/>
            <w:r>
              <w:rPr>
                <w:rFonts w:ascii="Arial Narrow" w:hAnsi="Arial Narrow"/>
                <w:sz w:val="22"/>
              </w:rPr>
              <w:t>.</w:t>
            </w:r>
          </w:p>
        </w:tc>
      </w:tr>
    </w:tbl>
    <w:p w14:paraId="073C0909" w14:textId="77777777" w:rsidR="008E6675" w:rsidRPr="0062180E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2180E" w14:paraId="3CC85E94" w14:textId="77777777">
        <w:tc>
          <w:tcPr>
            <w:tcW w:w="9212" w:type="dxa"/>
          </w:tcPr>
          <w:p w14:paraId="25335173" w14:textId="77777777" w:rsidR="008E6675" w:rsidRPr="0062180E" w:rsidRDefault="008E6675" w:rsidP="00E92C57">
            <w:pPr>
              <w:rPr>
                <w:rFonts w:ascii="Arial Narrow" w:hAnsi="Arial Narrow"/>
                <w:b/>
              </w:rPr>
            </w:pPr>
            <w:r w:rsidRPr="0062180E">
              <w:rPr>
                <w:rFonts w:ascii="Arial Narrow" w:hAnsi="Arial Narrow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8E6675" w:rsidRPr="0062180E" w14:paraId="402C1327" w14:textId="77777777">
        <w:tc>
          <w:tcPr>
            <w:tcW w:w="9212" w:type="dxa"/>
          </w:tcPr>
          <w:p w14:paraId="6B1FDB47" w14:textId="275CC4FE" w:rsidR="008E6675" w:rsidRPr="0062180E" w:rsidRDefault="008E6675" w:rsidP="00C11458">
            <w:pPr>
              <w:rPr>
                <w:rFonts w:ascii="Arial Narrow" w:hAnsi="Arial Narrow"/>
                <w:sz w:val="22"/>
                <w:szCs w:val="22"/>
              </w:rPr>
            </w:pPr>
            <w:r w:rsidRPr="0062180E">
              <w:rPr>
                <w:rFonts w:ascii="Arial Narrow" w:hAnsi="Arial Narrow"/>
                <w:sz w:val="22"/>
                <w:szCs w:val="22"/>
              </w:rPr>
              <w:t>In den Informatione</w:t>
            </w:r>
            <w:r w:rsidR="00C11458" w:rsidRPr="0062180E">
              <w:rPr>
                <w:rFonts w:ascii="Arial Narrow" w:hAnsi="Arial Narrow"/>
                <w:sz w:val="22"/>
                <w:szCs w:val="22"/>
              </w:rPr>
              <w:t xml:space="preserve">n nach §6 Abs. 2 </w:t>
            </w:r>
            <w:proofErr w:type="spellStart"/>
            <w:r w:rsidR="00C11458" w:rsidRPr="0062180E">
              <w:rPr>
                <w:rFonts w:ascii="Arial Narrow" w:hAnsi="Arial Narrow"/>
                <w:sz w:val="22"/>
                <w:szCs w:val="22"/>
              </w:rPr>
              <w:t>KHEntgG</w:t>
            </w:r>
            <w:proofErr w:type="spellEnd"/>
            <w:r w:rsidR="00C11458" w:rsidRPr="0062180E">
              <w:rPr>
                <w:rFonts w:ascii="Arial Narrow" w:hAnsi="Arial Narrow"/>
                <w:sz w:val="22"/>
                <w:szCs w:val="22"/>
              </w:rPr>
              <w:t xml:space="preserve"> für 202</w:t>
            </w:r>
            <w:r w:rsidR="001363FF">
              <w:rPr>
                <w:rFonts w:ascii="Arial Narrow" w:hAnsi="Arial Narrow"/>
                <w:sz w:val="22"/>
                <w:szCs w:val="22"/>
              </w:rPr>
              <w:t>4</w:t>
            </w:r>
            <w:r w:rsidRPr="0062180E">
              <w:rPr>
                <w:rFonts w:ascii="Arial Narrow" w:hAnsi="Arial Narrow"/>
                <w:sz w:val="22"/>
                <w:szCs w:val="22"/>
              </w:rPr>
              <w:t xml:space="preserve"> hat </w:t>
            </w:r>
            <w:r w:rsidR="002A242F" w:rsidRPr="0062180E">
              <w:rPr>
                <w:rFonts w:ascii="Arial Narrow" w:hAnsi="Arial Narrow"/>
                <w:sz w:val="22"/>
                <w:szCs w:val="22"/>
              </w:rPr>
              <w:t xml:space="preserve">die </w:t>
            </w:r>
            <w:r w:rsidR="002A242F" w:rsidRPr="0062180E">
              <w:rPr>
                <w:rFonts w:ascii="Arial Narrow" w:hAnsi="Arial Narrow"/>
                <w:sz w:val="22"/>
              </w:rPr>
              <w:t>Gabe von CAR T-Zellen zur Behandlung von hämatologischen Erkrankungen</w:t>
            </w:r>
            <w:r w:rsidR="002A242F" w:rsidRPr="0062180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2180E">
              <w:rPr>
                <w:rFonts w:ascii="Arial Narrow" w:hAnsi="Arial Narrow"/>
                <w:sz w:val="22"/>
                <w:szCs w:val="22"/>
              </w:rPr>
              <w:t xml:space="preserve">den Status </w:t>
            </w:r>
            <w:r w:rsidR="002A242F" w:rsidRPr="0062180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</w:tbl>
    <w:p w14:paraId="75E7896B" w14:textId="77777777" w:rsidR="008E6675" w:rsidRPr="0062180E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2180E" w14:paraId="7DEA2055" w14:textId="77777777">
        <w:tc>
          <w:tcPr>
            <w:tcW w:w="9212" w:type="dxa"/>
          </w:tcPr>
          <w:p w14:paraId="4E8FCE4C" w14:textId="77777777" w:rsidR="008E6675" w:rsidRPr="0062180E" w:rsidRDefault="008E6675" w:rsidP="005638EB">
            <w:pPr>
              <w:rPr>
                <w:rFonts w:ascii="Arial Narrow" w:hAnsi="Arial Narrow"/>
                <w:b/>
              </w:rPr>
            </w:pPr>
            <w:r w:rsidRPr="0062180E">
              <w:rPr>
                <w:rFonts w:ascii="Arial Narrow" w:hAnsi="Arial Narrow"/>
                <w:b/>
                <w:sz w:val="22"/>
              </w:rPr>
              <w:t>Welche Auswirkungen hat die Methode auf die Verweildauer im Krankenhaus?</w:t>
            </w:r>
          </w:p>
        </w:tc>
      </w:tr>
      <w:tr w:rsidR="008E6675" w:rsidRPr="0062180E" w14:paraId="5C15DE82" w14:textId="77777777">
        <w:trPr>
          <w:trHeight w:val="264"/>
        </w:trPr>
        <w:tc>
          <w:tcPr>
            <w:tcW w:w="9212" w:type="dxa"/>
          </w:tcPr>
          <w:p w14:paraId="2A0C9123" w14:textId="0B9535E4" w:rsidR="001363FF" w:rsidRPr="001363FF" w:rsidRDefault="00E90717" w:rsidP="001363FF">
            <w:pPr>
              <w:rPr>
                <w:rFonts w:ascii="Arial Narrow" w:hAnsi="Arial Narrow" w:cs="Arial"/>
                <w:sz w:val="22"/>
                <w:szCs w:val="22"/>
              </w:rPr>
            </w:pPr>
            <w:r w:rsidRPr="0062180E">
              <w:rPr>
                <w:rFonts w:ascii="Arial Narrow" w:hAnsi="Arial Narrow" w:cs="Arial"/>
                <w:sz w:val="22"/>
                <w:szCs w:val="22"/>
              </w:rPr>
              <w:t>Laut Datenbrowser des INEK für das Jahr 202</w:t>
            </w:r>
            <w:r w:rsidR="001363FF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62180E">
              <w:rPr>
                <w:rFonts w:ascii="Arial Narrow" w:hAnsi="Arial Narrow" w:cs="Arial"/>
                <w:sz w:val="22"/>
                <w:szCs w:val="22"/>
              </w:rPr>
              <w:t xml:space="preserve"> betrug die mittlere Verweildauer bei der Prozedur 8-802.24 bei </w:t>
            </w:r>
            <w:r w:rsidR="001363FF">
              <w:rPr>
                <w:rFonts w:ascii="Arial Narrow" w:hAnsi="Arial Narrow" w:cs="Arial"/>
                <w:sz w:val="22"/>
                <w:szCs w:val="22"/>
              </w:rPr>
              <w:t>1081</w:t>
            </w:r>
            <w:r w:rsidR="001363FF" w:rsidRPr="0062180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62180E">
              <w:rPr>
                <w:rFonts w:ascii="Arial Narrow" w:hAnsi="Arial Narrow" w:cs="Arial"/>
                <w:sz w:val="22"/>
                <w:szCs w:val="22"/>
              </w:rPr>
              <w:t>Fällen 23,</w:t>
            </w:r>
            <w:r w:rsidR="001363FF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62180E">
              <w:rPr>
                <w:rFonts w:ascii="Arial Narrow" w:hAnsi="Arial Narrow" w:cs="Arial"/>
                <w:sz w:val="22"/>
                <w:szCs w:val="22"/>
              </w:rPr>
              <w:t xml:space="preserve"> Tage. </w:t>
            </w:r>
            <w:r w:rsidR="001363FF">
              <w:rPr>
                <w:rFonts w:ascii="Arial Narrow" w:hAnsi="Arial Narrow" w:cs="Arial"/>
                <w:sz w:val="22"/>
                <w:szCs w:val="22"/>
              </w:rPr>
              <w:t>488</w:t>
            </w:r>
            <w:r w:rsidR="001363FF" w:rsidRPr="0062180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62180E">
              <w:rPr>
                <w:rFonts w:ascii="Arial Narrow" w:hAnsi="Arial Narrow" w:cs="Arial"/>
                <w:sz w:val="22"/>
                <w:szCs w:val="22"/>
              </w:rPr>
              <w:t xml:space="preserve">Fälle davon wurden in die DRG R61H und R61E gruppiert, die im </w:t>
            </w:r>
            <w:proofErr w:type="spellStart"/>
            <w:r w:rsidRPr="0062180E">
              <w:rPr>
                <w:rFonts w:ascii="Arial Narrow" w:hAnsi="Arial Narrow" w:cs="Arial"/>
                <w:sz w:val="22"/>
                <w:szCs w:val="22"/>
              </w:rPr>
              <w:t>Fallpauschalenkatalog</w:t>
            </w:r>
            <w:proofErr w:type="spellEnd"/>
            <w:r w:rsidRPr="0062180E">
              <w:rPr>
                <w:rFonts w:ascii="Arial Narrow" w:hAnsi="Arial Narrow" w:cs="Arial"/>
                <w:sz w:val="22"/>
                <w:szCs w:val="22"/>
              </w:rPr>
              <w:t xml:space="preserve"> 202</w:t>
            </w:r>
            <w:r w:rsidR="001363FF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62180E">
              <w:rPr>
                <w:rFonts w:ascii="Arial Narrow" w:hAnsi="Arial Narrow" w:cs="Arial"/>
                <w:sz w:val="22"/>
                <w:szCs w:val="22"/>
              </w:rPr>
              <w:t xml:space="preserve"> eine mittlere Verweildauer</w:t>
            </w:r>
            <w:r w:rsidR="001363F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363FF" w:rsidRPr="001363FF">
              <w:rPr>
                <w:rFonts w:ascii="Arial Narrow" w:hAnsi="Arial Narrow" w:cs="Arial"/>
                <w:sz w:val="22"/>
                <w:szCs w:val="22"/>
              </w:rPr>
              <w:t xml:space="preserve">von 5,4 bzw. 9,5 Tage aufweisen. Alle Fälle lagen über </w:t>
            </w:r>
          </w:p>
          <w:p w14:paraId="3F28B2F9" w14:textId="77777777" w:rsidR="001363FF" w:rsidRPr="001363FF" w:rsidRDefault="001363FF" w:rsidP="001363FF">
            <w:pPr>
              <w:rPr>
                <w:rFonts w:ascii="Arial Narrow" w:hAnsi="Arial Narrow" w:cs="Arial"/>
                <w:sz w:val="22"/>
                <w:szCs w:val="22"/>
              </w:rPr>
            </w:pPr>
            <w:r w:rsidRPr="001363FF">
              <w:rPr>
                <w:rFonts w:ascii="Arial Narrow" w:hAnsi="Arial Narrow" w:cs="Arial"/>
                <w:sz w:val="22"/>
                <w:szCs w:val="22"/>
              </w:rPr>
              <w:t xml:space="preserve">der oberen Grenzverweildauer von 12 bzw. 20 Tagen. Fälle mit der Prozedur 8-802.24 in der DRG R61H sind zu </w:t>
            </w:r>
          </w:p>
          <w:p w14:paraId="1766CA55" w14:textId="77777777" w:rsidR="001363FF" w:rsidRPr="001363FF" w:rsidRDefault="001363FF" w:rsidP="001363FF">
            <w:pPr>
              <w:rPr>
                <w:rFonts w:ascii="Arial Narrow" w:hAnsi="Arial Narrow" w:cs="Arial"/>
                <w:sz w:val="22"/>
                <w:szCs w:val="22"/>
              </w:rPr>
            </w:pPr>
            <w:r w:rsidRPr="001363FF">
              <w:rPr>
                <w:rFonts w:ascii="Arial Narrow" w:hAnsi="Arial Narrow" w:cs="Arial"/>
                <w:sz w:val="22"/>
                <w:szCs w:val="22"/>
              </w:rPr>
              <w:t>98% Langlieger.</w:t>
            </w:r>
          </w:p>
          <w:p w14:paraId="5D6CEA7B" w14:textId="77777777" w:rsidR="001363FF" w:rsidRPr="001363FF" w:rsidRDefault="001363FF" w:rsidP="001363FF">
            <w:pPr>
              <w:rPr>
                <w:rFonts w:ascii="Arial Narrow" w:hAnsi="Arial Narrow" w:cs="Arial"/>
                <w:sz w:val="22"/>
                <w:szCs w:val="22"/>
              </w:rPr>
            </w:pPr>
            <w:r w:rsidRPr="001363FF">
              <w:rPr>
                <w:rFonts w:ascii="Arial Narrow" w:hAnsi="Arial Narrow" w:cs="Arial"/>
                <w:sz w:val="22"/>
                <w:szCs w:val="22"/>
              </w:rPr>
              <w:t xml:space="preserve">Dies bestätigt die klinische Erfahrung, dass Patienten mit CAR-T-Therapie eine deutlich längere Verweildauer </w:t>
            </w:r>
          </w:p>
          <w:p w14:paraId="19E75E35" w14:textId="366C5517" w:rsidR="00A530BE" w:rsidRPr="0062180E" w:rsidRDefault="001363FF">
            <w:pPr>
              <w:rPr>
                <w:rFonts w:ascii="Arial Narrow" w:hAnsi="Arial Narrow" w:cs="Arial"/>
                <w:sz w:val="22"/>
                <w:szCs w:val="22"/>
              </w:rPr>
            </w:pPr>
            <w:r w:rsidRPr="001363FF">
              <w:rPr>
                <w:rFonts w:ascii="Arial Narrow" w:hAnsi="Arial Narrow" w:cs="Arial"/>
                <w:sz w:val="22"/>
                <w:szCs w:val="22"/>
              </w:rPr>
              <w:t xml:space="preserve">haben als andere </w:t>
            </w:r>
            <w:proofErr w:type="spellStart"/>
            <w:r w:rsidRPr="001363FF">
              <w:rPr>
                <w:rFonts w:ascii="Arial Narrow" w:hAnsi="Arial Narrow" w:cs="Arial"/>
                <w:sz w:val="22"/>
                <w:szCs w:val="22"/>
              </w:rPr>
              <w:t>Lymphompatienten</w:t>
            </w:r>
            <w:proofErr w:type="spellEnd"/>
            <w:r w:rsidRPr="001363FF">
              <w:rPr>
                <w:rFonts w:ascii="Arial Narrow" w:hAnsi="Arial Narrow" w:cs="Arial"/>
                <w:sz w:val="22"/>
                <w:szCs w:val="22"/>
              </w:rPr>
              <w:t xml:space="preserve"> in der Basis-DRG R61</w:t>
            </w:r>
            <w:r w:rsidR="00FB1394" w:rsidRPr="0062180E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</w:tbl>
    <w:p w14:paraId="4E061776" w14:textId="77777777" w:rsidR="008E6675" w:rsidRPr="0062180E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62180E" w14:paraId="6BCFFEC8" w14:textId="77777777">
        <w:tc>
          <w:tcPr>
            <w:tcW w:w="9212" w:type="dxa"/>
          </w:tcPr>
          <w:p w14:paraId="5ABEFBD5" w14:textId="77777777" w:rsidR="008E6675" w:rsidRPr="0062180E" w:rsidRDefault="008E6675" w:rsidP="005638EB">
            <w:pPr>
              <w:rPr>
                <w:rFonts w:ascii="Arial Narrow" w:hAnsi="Arial Narrow"/>
                <w:b/>
              </w:rPr>
            </w:pPr>
            <w:r w:rsidRPr="0062180E">
              <w:rPr>
                <w:rFonts w:ascii="Arial Narrow" w:hAnsi="Arial Narrow"/>
                <w:b/>
                <w:sz w:val="22"/>
              </w:rPr>
              <w:t>Wann wurde diese Methode in Deutschland eingeführt?</w:t>
            </w:r>
          </w:p>
        </w:tc>
      </w:tr>
      <w:tr w:rsidR="008E6675" w:rsidRPr="007F255B" w14:paraId="0DF8F781" w14:textId="77777777">
        <w:tc>
          <w:tcPr>
            <w:tcW w:w="9212" w:type="dxa"/>
          </w:tcPr>
          <w:p w14:paraId="256E27C8" w14:textId="387C6F66" w:rsidR="00D14350" w:rsidRPr="00C112A6" w:rsidRDefault="00482185" w:rsidP="00C112A6">
            <w:pPr>
              <w:rPr>
                <w:rFonts w:ascii="Arial Narrow" w:hAnsi="Arial Narrow"/>
                <w:color w:val="00B050"/>
                <w:sz w:val="22"/>
              </w:rPr>
            </w:pPr>
            <w:r w:rsidRPr="0062180E">
              <w:rPr>
                <w:rFonts w:ascii="Arial Narrow" w:hAnsi="Arial Narrow"/>
                <w:sz w:val="22"/>
              </w:rPr>
              <w:t>Herbst 2018</w:t>
            </w:r>
          </w:p>
        </w:tc>
      </w:tr>
    </w:tbl>
    <w:p w14:paraId="233BCD2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956DB" w14:textId="77777777">
        <w:tc>
          <w:tcPr>
            <w:tcW w:w="9212" w:type="dxa"/>
          </w:tcPr>
          <w:p w14:paraId="483A4156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Medikamenten: Wann wurde dieses Medikament zugelassen?</w:t>
            </w:r>
          </w:p>
        </w:tc>
      </w:tr>
      <w:tr w:rsidR="008E6675" w:rsidRPr="007F255B" w14:paraId="1264FF24" w14:textId="77777777">
        <w:tc>
          <w:tcPr>
            <w:tcW w:w="9212" w:type="dxa"/>
          </w:tcPr>
          <w:p w14:paraId="7BB60EDC" w14:textId="09B1813B" w:rsidR="00044597" w:rsidRPr="00C112A6" w:rsidRDefault="00482185" w:rsidP="00C112A6">
            <w:pPr>
              <w:rPr>
                <w:rFonts w:ascii="Arial Narrow" w:hAnsi="Arial Narrow"/>
                <w:color w:val="00B050"/>
                <w:sz w:val="22"/>
              </w:rPr>
            </w:pPr>
            <w:r w:rsidRPr="0062180E">
              <w:rPr>
                <w:rFonts w:ascii="Arial Narrow" w:hAnsi="Arial Narrow"/>
                <w:sz w:val="22"/>
              </w:rPr>
              <w:t>23.8.2018</w:t>
            </w:r>
          </w:p>
        </w:tc>
      </w:tr>
    </w:tbl>
    <w:p w14:paraId="479CCD3D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4374391" w14:textId="77777777">
        <w:tc>
          <w:tcPr>
            <w:tcW w:w="9212" w:type="dxa"/>
          </w:tcPr>
          <w:p w14:paraId="657A69B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Wann wurde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bzw. wird </w:t>
            </w:r>
            <w:r w:rsidRPr="005638EB">
              <w:rPr>
                <w:rFonts w:ascii="Arial Narrow" w:hAnsi="Arial Narrow"/>
                <w:b/>
                <w:sz w:val="22"/>
              </w:rPr>
              <w:t>die Methode in Ihrem Krankenhaus eingeführt?</w:t>
            </w:r>
          </w:p>
        </w:tc>
      </w:tr>
      <w:tr w:rsidR="008E6675" w:rsidRPr="005638EB" w14:paraId="4BC61AB6" w14:textId="77777777">
        <w:tc>
          <w:tcPr>
            <w:tcW w:w="9212" w:type="dxa"/>
          </w:tcPr>
          <w:p w14:paraId="7727C539" w14:textId="77777777" w:rsidR="008E6675" w:rsidRPr="005638EB" w:rsidRDefault="00983554" w:rsidP="005638EB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D6635CC" w14:textId="77777777">
        <w:tc>
          <w:tcPr>
            <w:tcW w:w="9212" w:type="dxa"/>
          </w:tcPr>
          <w:p w14:paraId="126EBD7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In wie vielen Kliniken wird diese Methode derzeit eingesetzt (Schätzung)?</w:t>
            </w:r>
          </w:p>
        </w:tc>
      </w:tr>
      <w:tr w:rsidR="008E6675" w:rsidRPr="005638EB" w14:paraId="4C00526F" w14:textId="77777777">
        <w:tc>
          <w:tcPr>
            <w:tcW w:w="9212" w:type="dxa"/>
          </w:tcPr>
          <w:p w14:paraId="21DD9094" w14:textId="43E81D56" w:rsidR="00C112A6" w:rsidRPr="00002CB8" w:rsidRDefault="002A242F" w:rsidP="00C112A6">
            <w:pPr>
              <w:rPr>
                <w:rFonts w:ascii="Arial Narrow" w:hAnsi="Arial Narrow"/>
                <w:sz w:val="22"/>
              </w:rPr>
            </w:pPr>
            <w:r w:rsidRPr="004E6D00">
              <w:rPr>
                <w:rFonts w:ascii="Arial Narrow" w:eastAsiaTheme="minorHAnsi" w:hAnsi="Arial Narrow" w:cstheme="minorBidi"/>
                <w:sz w:val="22"/>
                <w:szCs w:val="21"/>
                <w:lang w:eastAsia="en-US"/>
              </w:rPr>
              <w:t xml:space="preserve">Die Gabe von CAR T-Zellen zur Behandlung von hämatologischen Erkrankungen wird in ca. </w:t>
            </w:r>
            <w:r w:rsidRPr="0062180E">
              <w:rPr>
                <w:rFonts w:ascii="Arial Narrow" w:eastAsiaTheme="minorHAnsi" w:hAnsi="Arial Narrow" w:cstheme="minorBidi"/>
                <w:sz w:val="22"/>
                <w:szCs w:val="21"/>
                <w:lang w:eastAsia="en-US"/>
              </w:rPr>
              <w:t>40</w:t>
            </w:r>
            <w:r w:rsidRPr="004E6D00">
              <w:rPr>
                <w:rFonts w:ascii="Arial Narrow" w:eastAsiaTheme="minorHAnsi" w:hAnsi="Arial Narrow" w:cstheme="minorBidi"/>
                <w:sz w:val="22"/>
                <w:szCs w:val="21"/>
                <w:lang w:eastAsia="en-US"/>
              </w:rPr>
              <w:t xml:space="preserve"> Kliniken in Deutschland eingesetzt</w:t>
            </w:r>
          </w:p>
        </w:tc>
      </w:tr>
    </w:tbl>
    <w:p w14:paraId="43674FE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BCF6BA3" w14:textId="77777777">
        <w:tc>
          <w:tcPr>
            <w:tcW w:w="9212" w:type="dxa"/>
          </w:tcPr>
          <w:p w14:paraId="6D713A1D" w14:textId="3B4F4587" w:rsidR="008E6675" w:rsidRPr="005638EB" w:rsidRDefault="008E6675" w:rsidP="00285AE4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Wie viele Patienten wur</w:t>
            </w:r>
            <w:r w:rsidR="000953D2">
              <w:rPr>
                <w:rFonts w:ascii="Arial Narrow" w:hAnsi="Arial Narrow"/>
                <w:b/>
                <w:sz w:val="22"/>
              </w:rPr>
              <w:t>den in Ihrem Krankenhaus in 202</w:t>
            </w:r>
            <w:r w:rsidR="00240F0E">
              <w:rPr>
                <w:rFonts w:ascii="Arial Narrow" w:hAnsi="Arial Narrow"/>
                <w:b/>
                <w:sz w:val="22"/>
              </w:rPr>
              <w:t>3</w:t>
            </w:r>
            <w:r w:rsidR="000953D2">
              <w:rPr>
                <w:rFonts w:ascii="Arial Narrow" w:hAnsi="Arial Narrow"/>
                <w:b/>
                <w:sz w:val="22"/>
              </w:rPr>
              <w:t xml:space="preserve"> oder in 202</w:t>
            </w:r>
            <w:r w:rsidR="00240F0E">
              <w:rPr>
                <w:rFonts w:ascii="Arial Narrow" w:hAnsi="Arial Narrow"/>
                <w:b/>
                <w:sz w:val="22"/>
              </w:rPr>
              <w:t>4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behandelt?</w:t>
            </w:r>
          </w:p>
        </w:tc>
      </w:tr>
      <w:tr w:rsidR="008E6675" w:rsidRPr="00AB10BF" w14:paraId="5CCFBAD3" w14:textId="77777777">
        <w:tc>
          <w:tcPr>
            <w:tcW w:w="9212" w:type="dxa"/>
          </w:tcPr>
          <w:p w14:paraId="4F6124DB" w14:textId="6B2B0FB3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240F0E">
              <w:rPr>
                <w:rFonts w:ascii="Arial Narrow" w:hAnsi="Arial Narrow"/>
                <w:sz w:val="22"/>
              </w:rPr>
              <w:t>3</w:t>
            </w:r>
          </w:p>
        </w:tc>
      </w:tr>
      <w:tr w:rsidR="00983554" w:rsidRPr="005638EB" w14:paraId="1992E6A2" w14:textId="77777777">
        <w:tc>
          <w:tcPr>
            <w:tcW w:w="9212" w:type="dxa"/>
          </w:tcPr>
          <w:p w14:paraId="283F259E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8E6675" w:rsidRPr="00AB10BF" w14:paraId="175E4977" w14:textId="77777777">
        <w:tc>
          <w:tcPr>
            <w:tcW w:w="9212" w:type="dxa"/>
          </w:tcPr>
          <w:p w14:paraId="33A68C3A" w14:textId="6E06470D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240F0E">
              <w:rPr>
                <w:rFonts w:ascii="Arial Narrow" w:hAnsi="Arial Narrow"/>
                <w:sz w:val="22"/>
              </w:rPr>
              <w:t>4</w:t>
            </w:r>
          </w:p>
        </w:tc>
      </w:tr>
      <w:tr w:rsidR="00983554" w:rsidRPr="005638EB" w14:paraId="6BABCFC8" w14:textId="77777777">
        <w:tc>
          <w:tcPr>
            <w:tcW w:w="9212" w:type="dxa"/>
          </w:tcPr>
          <w:p w14:paraId="17351D25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9B8805A" w14:textId="77777777">
        <w:tc>
          <w:tcPr>
            <w:tcW w:w="9212" w:type="dxa"/>
          </w:tcPr>
          <w:p w14:paraId="2C8371FB" w14:textId="01E0B5D6" w:rsidR="008E6675" w:rsidRPr="005638EB" w:rsidRDefault="008E6675" w:rsidP="00285AE4">
            <w:pPr>
              <w:rPr>
                <w:rFonts w:ascii="Arial Narrow" w:hAnsi="Arial Narrow"/>
              </w:rPr>
            </w:pPr>
            <w:proofErr w:type="spellStart"/>
            <w:r w:rsidRPr="008C1686">
              <w:rPr>
                <w:rFonts w:ascii="Arial Narrow" w:hAnsi="Arial Narrow"/>
                <w:b/>
                <w:sz w:val="22"/>
              </w:rPr>
              <w:t>Wieviele</w:t>
            </w:r>
            <w:proofErr w:type="spellEnd"/>
            <w:r w:rsidRPr="008C1686">
              <w:rPr>
                <w:rFonts w:ascii="Arial Narrow" w:hAnsi="Arial Narrow"/>
                <w:b/>
                <w:sz w:val="22"/>
              </w:rPr>
              <w:t xml:space="preserve"> P</w:t>
            </w:r>
            <w:r w:rsidR="00A530BE">
              <w:rPr>
                <w:rFonts w:ascii="Arial Narrow" w:hAnsi="Arial Narrow"/>
                <w:b/>
                <w:sz w:val="22"/>
              </w:rPr>
              <w:t>atienten planen Sie im Jahr 20</w:t>
            </w:r>
            <w:r w:rsidR="000953D2">
              <w:rPr>
                <w:rFonts w:ascii="Arial Narrow" w:hAnsi="Arial Narrow"/>
                <w:b/>
                <w:sz w:val="22"/>
              </w:rPr>
              <w:t>2</w:t>
            </w:r>
            <w:r w:rsidR="00240F0E">
              <w:rPr>
                <w:rFonts w:ascii="Arial Narrow" w:hAnsi="Arial Narrow"/>
                <w:b/>
                <w:sz w:val="22"/>
              </w:rPr>
              <w:t>5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zu behandeln?</w:t>
            </w:r>
          </w:p>
        </w:tc>
      </w:tr>
      <w:tr w:rsidR="00983554" w:rsidRPr="005638EB" w14:paraId="742C5EF0" w14:textId="77777777">
        <w:tc>
          <w:tcPr>
            <w:tcW w:w="9212" w:type="dxa"/>
          </w:tcPr>
          <w:p w14:paraId="4620D230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4A6A805" w14:textId="77777777">
        <w:tc>
          <w:tcPr>
            <w:tcW w:w="9212" w:type="dxa"/>
          </w:tcPr>
          <w:p w14:paraId="5C0D4897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8E6675" w:rsidRPr="005638EB" w14:paraId="169DFC57" w14:textId="77777777">
        <w:tc>
          <w:tcPr>
            <w:tcW w:w="9212" w:type="dxa"/>
          </w:tcPr>
          <w:p w14:paraId="5D38BF8A" w14:textId="24AC8CD0" w:rsidR="002A242F" w:rsidRPr="0062180E" w:rsidRDefault="00482185">
            <w:pPr>
              <w:rPr>
                <w:rFonts w:ascii="Arial Narrow" w:hAnsi="Arial Narrow"/>
                <w:sz w:val="22"/>
              </w:rPr>
            </w:pPr>
            <w:r w:rsidRPr="0062180E">
              <w:rPr>
                <w:rFonts w:ascii="Arial Narrow" w:hAnsi="Arial Narrow"/>
                <w:sz w:val="22"/>
              </w:rPr>
              <w:t xml:space="preserve">Sachkosten: Eine einmalige Dosis von </w:t>
            </w:r>
            <w:proofErr w:type="spellStart"/>
            <w:r w:rsidRPr="0062180E">
              <w:rPr>
                <w:rFonts w:ascii="Arial Narrow" w:hAnsi="Arial Narrow"/>
                <w:sz w:val="22"/>
              </w:rPr>
              <w:t>Tisagenlecleucel</w:t>
            </w:r>
            <w:proofErr w:type="spellEnd"/>
            <w:r w:rsidRPr="0062180E">
              <w:rPr>
                <w:rFonts w:ascii="Arial Narrow" w:hAnsi="Arial Narrow"/>
                <w:sz w:val="22"/>
              </w:rPr>
              <w:t xml:space="preserve"> kostet </w:t>
            </w:r>
            <w:r w:rsidR="00240F0E" w:rsidRPr="0062180E">
              <w:rPr>
                <w:rFonts w:ascii="Arial Narrow" w:hAnsi="Arial Narrow"/>
                <w:sz w:val="22"/>
              </w:rPr>
              <w:t>2</w:t>
            </w:r>
            <w:r w:rsidR="00240F0E">
              <w:rPr>
                <w:rFonts w:ascii="Arial Narrow" w:hAnsi="Arial Narrow"/>
                <w:sz w:val="22"/>
              </w:rPr>
              <w:t>39</w:t>
            </w:r>
            <w:r w:rsidRPr="0062180E">
              <w:rPr>
                <w:rFonts w:ascii="Arial Narrow" w:hAnsi="Arial Narrow"/>
                <w:sz w:val="22"/>
              </w:rPr>
              <w:t>.000 € (AMNOG-Erstattungspreis</w:t>
            </w:r>
            <w:r w:rsidR="00240F0E">
              <w:rPr>
                <w:rFonts w:ascii="Arial Narrow" w:hAnsi="Arial Narrow"/>
                <w:sz w:val="22"/>
              </w:rPr>
              <w:t xml:space="preserve"> ab 15.09.2023</w:t>
            </w:r>
            <w:r w:rsidRPr="0062180E">
              <w:rPr>
                <w:rFonts w:ascii="Arial Narrow" w:hAnsi="Arial Narrow"/>
                <w:sz w:val="22"/>
              </w:rPr>
              <w:t>), eine Mehrwertsteuer wird nicht erhoben.</w:t>
            </w:r>
          </w:p>
          <w:p w14:paraId="0283B347" w14:textId="77777777" w:rsidR="001F109F" w:rsidRPr="00240E51" w:rsidRDefault="001F109F" w:rsidP="001F109F">
            <w:pPr>
              <w:pStyle w:val="NurText"/>
              <w:rPr>
                <w:rFonts w:ascii="Arial Narrow" w:hAnsi="Arial Narrow"/>
                <w:szCs w:val="22"/>
                <w:lang w:eastAsia="de-DE"/>
              </w:rPr>
            </w:pPr>
            <w:r w:rsidRPr="0062180E">
              <w:rPr>
                <w:rFonts w:ascii="Arial Narrow" w:hAnsi="Arial Narrow"/>
              </w:rPr>
              <w:t>Zusätzlich entstehen dem Krankenhaus die Kosten zur Präparation der Lymphozyten, die der Firma zur Herstellung der patientenspezifischen CAR-T-Zellen geliefert werden müssen. Diese Leistung (</w:t>
            </w:r>
            <w:proofErr w:type="spellStart"/>
            <w:r w:rsidRPr="0062180E">
              <w:rPr>
                <w:rFonts w:ascii="Arial Narrow" w:hAnsi="Arial Narrow"/>
              </w:rPr>
              <w:t>Apherese</w:t>
            </w:r>
            <w:proofErr w:type="spellEnd"/>
            <w:r w:rsidRPr="0062180E">
              <w:rPr>
                <w:rFonts w:ascii="Arial Narrow" w:hAnsi="Arial Narrow"/>
              </w:rPr>
              <w:t xml:space="preserve">) ist laut G-BA Beschluss nicht extra erstattungsfähig, sondern Teil der Herstellung des Arzneimittels. Die Kosten einer </w:t>
            </w:r>
            <w:proofErr w:type="spellStart"/>
            <w:r w:rsidRPr="0062180E">
              <w:rPr>
                <w:rFonts w:ascii="Arial Narrow" w:hAnsi="Arial Narrow"/>
              </w:rPr>
              <w:t>Apherese</w:t>
            </w:r>
            <w:proofErr w:type="spellEnd"/>
            <w:r w:rsidRPr="0062180E">
              <w:rPr>
                <w:rFonts w:ascii="Arial Narrow" w:hAnsi="Arial Narrow"/>
              </w:rPr>
              <w:t xml:space="preserve"> </w:t>
            </w:r>
            <w:r w:rsidRPr="0062180E">
              <w:rPr>
                <w:rFonts w:ascii="Arial Narrow" w:hAnsi="Arial Narrow"/>
                <w:szCs w:val="22"/>
              </w:rPr>
              <w:t>betragen ca. 4000 €. Die Abbildung dieser Kosten wird aktuell Krankenhaus-individuell mit den Herstellungsfirmen vereinbart</w:t>
            </w:r>
            <w:r w:rsidRPr="0062180E">
              <w:rPr>
                <w:rFonts w:ascii="Arial Narrow" w:hAnsi="Arial Narrow"/>
                <w:szCs w:val="22"/>
                <w:highlight w:val="green"/>
              </w:rPr>
              <w:t>.</w:t>
            </w:r>
          </w:p>
          <w:p w14:paraId="6B2B5C54" w14:textId="3CF805A8" w:rsidR="00604FED" w:rsidRDefault="001F109F" w:rsidP="00482185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4E6D00">
              <w:rPr>
                <w:rFonts w:ascii="Arial Narrow" w:hAnsi="Arial Narrow"/>
                <w:sz w:val="22"/>
                <w:szCs w:val="22"/>
              </w:rPr>
              <w:t xml:space="preserve">Weiterhin entstehen den Zentren Mehrkosten bei der Gabe der Zellen, die weiterhin nicht vollumfänglich in den typischerweise angesteuerten DRGs aus R61 und R63 abgebildet sind. Diese Kosten liegen bei mindestens </w:t>
            </w:r>
            <w:r w:rsidR="00251296" w:rsidRPr="00251296">
              <w:rPr>
                <w:rFonts w:ascii="Arial Narrow" w:hAnsi="Arial Narrow"/>
                <w:sz w:val="22"/>
                <w:szCs w:val="22"/>
              </w:rPr>
              <w:t>15</w:t>
            </w:r>
            <w:r w:rsidRPr="00251296">
              <w:rPr>
                <w:rFonts w:ascii="Arial Narrow" w:hAnsi="Arial Narrow"/>
                <w:sz w:val="22"/>
                <w:szCs w:val="22"/>
              </w:rPr>
              <w:t>.000€</w:t>
            </w:r>
            <w:r w:rsidRPr="004E6D00">
              <w:rPr>
                <w:rFonts w:ascii="Arial Narrow" w:hAnsi="Arial Narrow"/>
                <w:sz w:val="22"/>
                <w:szCs w:val="22"/>
              </w:rPr>
              <w:t xml:space="preserve"> pro Gabe</w:t>
            </w:r>
            <w:r w:rsidRPr="004E6D00">
              <w:rPr>
                <w:rFonts w:ascii="Arial Narrow" w:hAnsi="Arial Narrow"/>
                <w:color w:val="FF0000"/>
                <w:sz w:val="22"/>
                <w:szCs w:val="22"/>
              </w:rPr>
              <w:t>.</w:t>
            </w:r>
          </w:p>
          <w:p w14:paraId="49225FC9" w14:textId="77777777" w:rsidR="00240F0E" w:rsidRPr="00240F0E" w:rsidRDefault="00240F0E" w:rsidP="00240F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240F0E">
              <w:rPr>
                <w:rFonts w:ascii="Arial Narrow" w:hAnsi="Arial Narrow" w:cs="Arial"/>
                <w:sz w:val="22"/>
                <w:szCs w:val="22"/>
              </w:rPr>
              <w:t xml:space="preserve">Die Mehrkosten beruhen auf sehr aufwendiger GMP-konformer Lagerung und Behandlung der Zellen, </w:t>
            </w:r>
          </w:p>
          <w:p w14:paraId="46C17ABC" w14:textId="77777777" w:rsidR="00240F0E" w:rsidRPr="00240F0E" w:rsidRDefault="00240F0E" w:rsidP="00240F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240F0E">
              <w:rPr>
                <w:rFonts w:ascii="Arial Narrow" w:hAnsi="Arial Narrow" w:cs="Arial"/>
                <w:sz w:val="22"/>
                <w:szCs w:val="22"/>
              </w:rPr>
              <w:t xml:space="preserve">zahlreichen Kontrollen (die vorgeschrieben sind unabhängig vom Befinden des Patienten), Überwachung und </w:t>
            </w:r>
          </w:p>
          <w:p w14:paraId="078E5A8A" w14:textId="77777777" w:rsidR="00240F0E" w:rsidRPr="00240F0E" w:rsidRDefault="00240F0E" w:rsidP="00240F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240F0E">
              <w:rPr>
                <w:rFonts w:ascii="Arial Narrow" w:hAnsi="Arial Narrow" w:cs="Arial"/>
                <w:sz w:val="22"/>
                <w:szCs w:val="22"/>
              </w:rPr>
              <w:t xml:space="preserve">Behandlung von Komplikationen, fachspezifisches und extra für diese Therapie geschultes Personal. Diese </w:t>
            </w:r>
          </w:p>
          <w:p w14:paraId="7B34043F" w14:textId="77777777" w:rsidR="00240F0E" w:rsidRPr="00240F0E" w:rsidRDefault="00240F0E" w:rsidP="00240F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240F0E">
              <w:rPr>
                <w:rFonts w:ascii="Arial Narrow" w:hAnsi="Arial Narrow" w:cs="Arial"/>
                <w:sz w:val="22"/>
                <w:szCs w:val="22"/>
              </w:rPr>
              <w:t xml:space="preserve">Mehrkosten entsprechen nach Schätzungen des VUD etwa den Kosten der DRG A15C gem. </w:t>
            </w:r>
            <w:proofErr w:type="spellStart"/>
            <w:r w:rsidRPr="00240F0E">
              <w:rPr>
                <w:rFonts w:ascii="Arial Narrow" w:hAnsi="Arial Narrow" w:cs="Arial"/>
                <w:sz w:val="22"/>
                <w:szCs w:val="22"/>
              </w:rPr>
              <w:t>InEK</w:t>
            </w:r>
            <w:proofErr w:type="spellEnd"/>
            <w:r w:rsidRPr="00240F0E">
              <w:rPr>
                <w:rFonts w:ascii="Arial Narrow" w:hAnsi="Arial Narrow" w:cs="Arial"/>
                <w:sz w:val="22"/>
                <w:szCs w:val="22"/>
              </w:rPr>
              <w:t xml:space="preserve">-Kostenmatrix </w:t>
            </w:r>
          </w:p>
          <w:p w14:paraId="1593D3DC" w14:textId="77777777" w:rsidR="00240F0E" w:rsidRPr="00240F0E" w:rsidRDefault="00240F0E" w:rsidP="00240F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240F0E">
              <w:rPr>
                <w:rFonts w:ascii="Arial Narrow" w:hAnsi="Arial Narrow" w:cs="Arial"/>
                <w:sz w:val="22"/>
                <w:szCs w:val="22"/>
              </w:rPr>
              <w:t xml:space="preserve">abzüglich der Transplantatkosten in Spalte 5, weshalb diese Kosten auch Kalkulationsgrundlage für ein </w:t>
            </w:r>
          </w:p>
          <w:p w14:paraId="633352D8" w14:textId="77777777" w:rsidR="00240F0E" w:rsidRPr="00240F0E" w:rsidRDefault="00240F0E" w:rsidP="00240F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240F0E">
              <w:rPr>
                <w:rFonts w:ascii="Arial Narrow" w:hAnsi="Arial Narrow" w:cs="Arial"/>
                <w:sz w:val="22"/>
                <w:szCs w:val="22"/>
              </w:rPr>
              <w:t xml:space="preserve">zusätzliches NUB-Entgelt (z. B. „Gabe von CAR T-Zellen zur Behandlung hämatologischer Erkrankungen, Kosten </w:t>
            </w:r>
          </w:p>
          <w:p w14:paraId="42FE23F3" w14:textId="77777777" w:rsidR="00240F0E" w:rsidRPr="00240F0E" w:rsidRDefault="00240F0E" w:rsidP="00240F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240F0E">
              <w:rPr>
                <w:rFonts w:ascii="Arial Narrow" w:hAnsi="Arial Narrow" w:cs="Arial"/>
                <w:sz w:val="22"/>
                <w:szCs w:val="22"/>
              </w:rPr>
              <w:t xml:space="preserve">Zusatzaufwand“) in Höhe von bisher bis zu 15.000 Euro waren, welche den Mehraufwand der CAR-T-Zell-Gabe </w:t>
            </w:r>
          </w:p>
          <w:p w14:paraId="2AB6084E" w14:textId="77777777" w:rsidR="00240F0E" w:rsidRPr="00240F0E" w:rsidRDefault="00240F0E" w:rsidP="00240F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240F0E">
              <w:rPr>
                <w:rFonts w:ascii="Arial Narrow" w:hAnsi="Arial Narrow" w:cs="Arial"/>
                <w:sz w:val="22"/>
                <w:szCs w:val="22"/>
              </w:rPr>
              <w:t xml:space="preserve">im stationären Kontext widerspiegeln sollte. Für 2023 wurden, sinkenden Mehrkosten in etlichen Zentren folgend, </w:t>
            </w:r>
          </w:p>
          <w:p w14:paraId="246968D0" w14:textId="77777777" w:rsidR="00240F0E" w:rsidRPr="00240F0E" w:rsidRDefault="00240F0E" w:rsidP="00240F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240F0E">
              <w:rPr>
                <w:rFonts w:ascii="Arial Narrow" w:hAnsi="Arial Narrow" w:cs="Arial"/>
                <w:sz w:val="22"/>
                <w:szCs w:val="22"/>
              </w:rPr>
              <w:t xml:space="preserve">geringere Zusatz-NUB-Entgelte bis 7.500 Euro vereinbart. Die Integration dieser Mehrkosten in eine DRG ist </w:t>
            </w:r>
          </w:p>
          <w:p w14:paraId="7AE6AA2F" w14:textId="77777777" w:rsidR="00240F0E" w:rsidRPr="00240F0E" w:rsidRDefault="00240F0E" w:rsidP="00240F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240F0E">
              <w:rPr>
                <w:rFonts w:ascii="Arial Narrow" w:hAnsi="Arial Narrow" w:cs="Arial"/>
                <w:sz w:val="22"/>
                <w:szCs w:val="22"/>
              </w:rPr>
              <w:t xml:space="preserve">bisher aufgrund inkonsistenter Kosten- und Leistungsdaten nicht gelungen, stattdessen wurde für 2024 das neue </w:t>
            </w:r>
          </w:p>
          <w:p w14:paraId="7E1BB6DF" w14:textId="77777777" w:rsidR="00240F0E" w:rsidRPr="00240F0E" w:rsidRDefault="00240F0E" w:rsidP="00240F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240F0E">
              <w:rPr>
                <w:rFonts w:ascii="Arial Narrow" w:hAnsi="Arial Narrow" w:cs="Arial"/>
                <w:sz w:val="22"/>
                <w:szCs w:val="22"/>
              </w:rPr>
              <w:t xml:space="preserve">ZE2024-220 Zusatzaufwand bei Behandlung mit Gabe von CAR-T-Zellen geschaffen. Erste Verhandlungsergebnisse deuten auf Erlöse wie zuletzt bei dem Zusatz-NUB 2023 oder etwas darunter hin. Eine </w:t>
            </w:r>
          </w:p>
          <w:p w14:paraId="08437523" w14:textId="77777777" w:rsidR="00240F0E" w:rsidRPr="00240F0E" w:rsidRDefault="00240F0E" w:rsidP="00240F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240F0E">
              <w:rPr>
                <w:rFonts w:ascii="Arial Narrow" w:hAnsi="Arial Narrow" w:cs="Arial"/>
                <w:sz w:val="22"/>
                <w:szCs w:val="22"/>
              </w:rPr>
              <w:t xml:space="preserve">Kostenkalkulation des VUD zeigt jedoch noch im Mittel deutlich höhere ungedeckte Mehrkosten bei starken </w:t>
            </w:r>
          </w:p>
          <w:p w14:paraId="7D03D20B" w14:textId="1EF17764" w:rsidR="00156FE0" w:rsidRPr="004E6D00" w:rsidRDefault="00240F0E" w:rsidP="00240F0E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240F0E">
              <w:rPr>
                <w:rFonts w:ascii="Arial Narrow" w:hAnsi="Arial Narrow" w:cs="Arial"/>
                <w:sz w:val="22"/>
                <w:szCs w:val="22"/>
              </w:rPr>
              <w:t>Schwankungen zwischen den Zentren.</w:t>
            </w:r>
            <w:r w:rsidR="001F109F" w:rsidRPr="004E6D00">
              <w:rPr>
                <w:rFonts w:ascii="Arial Narrow" w:hAnsi="Arial Narrow"/>
                <w:color w:val="FF0000"/>
                <w:sz w:val="22"/>
                <w:szCs w:val="22"/>
              </w:rPr>
              <w:t xml:space="preserve">  </w:t>
            </w:r>
          </w:p>
        </w:tc>
      </w:tr>
    </w:tbl>
    <w:p w14:paraId="45E65153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D84EF57" w14:textId="77777777">
        <w:tc>
          <w:tcPr>
            <w:tcW w:w="9212" w:type="dxa"/>
          </w:tcPr>
          <w:p w14:paraId="2FCAAE14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Welche DRG(s) ist/sind am häufigsten von dieser Methode betroffen?</w:t>
            </w:r>
          </w:p>
        </w:tc>
      </w:tr>
      <w:tr w:rsidR="008E6675" w:rsidRPr="00AB6364" w14:paraId="56F9F66E" w14:textId="77777777">
        <w:tc>
          <w:tcPr>
            <w:tcW w:w="9212" w:type="dxa"/>
          </w:tcPr>
          <w:p w14:paraId="303A0863" w14:textId="77777777" w:rsidR="004E6D00" w:rsidRPr="009D6365" w:rsidRDefault="004E6D00" w:rsidP="004E6D00">
            <w:pPr>
              <w:rPr>
                <w:rFonts w:ascii="Arial Narrow" w:hAnsi="Arial Narrow"/>
                <w:sz w:val="22"/>
                <w:lang w:val="es-ES"/>
              </w:rPr>
            </w:pPr>
            <w:r w:rsidRPr="009D6365">
              <w:rPr>
                <w:rFonts w:ascii="Arial Narrow" w:hAnsi="Arial Narrow"/>
                <w:sz w:val="22"/>
                <w:lang w:val="es-ES"/>
              </w:rPr>
              <w:t>R61H</w:t>
            </w:r>
          </w:p>
          <w:p w14:paraId="3D607BB5" w14:textId="77777777" w:rsidR="004E6D00" w:rsidRPr="009D6365" w:rsidRDefault="004E6D00" w:rsidP="004E6D00">
            <w:pPr>
              <w:rPr>
                <w:rFonts w:ascii="Arial Narrow" w:hAnsi="Arial Narrow"/>
                <w:sz w:val="22"/>
                <w:lang w:val="es-ES"/>
              </w:rPr>
            </w:pPr>
            <w:r w:rsidRPr="009D6365">
              <w:rPr>
                <w:rFonts w:ascii="Arial Narrow" w:hAnsi="Arial Narrow"/>
                <w:sz w:val="22"/>
                <w:lang w:val="es-ES"/>
              </w:rPr>
              <w:t>R61E</w:t>
            </w:r>
          </w:p>
          <w:p w14:paraId="39769C01" w14:textId="77777777" w:rsidR="004E6D00" w:rsidRPr="009D6365" w:rsidRDefault="004E6D00" w:rsidP="004E6D00">
            <w:pPr>
              <w:rPr>
                <w:rFonts w:ascii="Arial Narrow" w:hAnsi="Arial Narrow"/>
                <w:sz w:val="22"/>
                <w:lang w:val="es-ES"/>
              </w:rPr>
            </w:pPr>
            <w:r w:rsidRPr="009D6365">
              <w:rPr>
                <w:rFonts w:ascii="Arial Narrow" w:hAnsi="Arial Narrow"/>
                <w:sz w:val="22"/>
                <w:lang w:val="es-ES"/>
              </w:rPr>
              <w:t>R61B</w:t>
            </w:r>
          </w:p>
          <w:p w14:paraId="164BB69F" w14:textId="3B4995F1" w:rsidR="004E6D00" w:rsidRDefault="004E6D00" w:rsidP="004E6D00">
            <w:pPr>
              <w:rPr>
                <w:rFonts w:ascii="Arial Narrow" w:hAnsi="Arial Narrow"/>
                <w:sz w:val="22"/>
                <w:lang w:val="es-ES"/>
              </w:rPr>
            </w:pPr>
            <w:r w:rsidRPr="009D6365">
              <w:rPr>
                <w:rFonts w:ascii="Arial Narrow" w:hAnsi="Arial Narrow"/>
                <w:sz w:val="22"/>
                <w:lang w:val="es-ES"/>
              </w:rPr>
              <w:t>R61D</w:t>
            </w:r>
          </w:p>
          <w:p w14:paraId="4ADDCB6E" w14:textId="77777777" w:rsidR="00240F0E" w:rsidRDefault="00240F0E" w:rsidP="00240F0E">
            <w:pPr>
              <w:rPr>
                <w:rFonts w:ascii="Arial Narrow" w:hAnsi="Arial Narrow"/>
                <w:sz w:val="22"/>
                <w:lang w:val="es-ES"/>
              </w:rPr>
            </w:pPr>
            <w:r w:rsidRPr="009D6365">
              <w:rPr>
                <w:rFonts w:ascii="Arial Narrow" w:hAnsi="Arial Narrow"/>
                <w:sz w:val="22"/>
                <w:lang w:val="es-ES"/>
              </w:rPr>
              <w:t>R61A</w:t>
            </w:r>
          </w:p>
          <w:p w14:paraId="69695539" w14:textId="0AA2D8A4" w:rsidR="00240F0E" w:rsidRPr="009D6365" w:rsidRDefault="00240F0E" w:rsidP="004E6D00">
            <w:pPr>
              <w:rPr>
                <w:rFonts w:ascii="Arial Narrow" w:hAnsi="Arial Narrow"/>
                <w:sz w:val="22"/>
                <w:lang w:val="es-ES"/>
              </w:rPr>
            </w:pPr>
            <w:r>
              <w:rPr>
                <w:rFonts w:ascii="Arial Narrow" w:hAnsi="Arial Narrow"/>
                <w:sz w:val="22"/>
                <w:lang w:val="es-ES"/>
              </w:rPr>
              <w:t>R61F</w:t>
            </w:r>
          </w:p>
          <w:p w14:paraId="1468A482" w14:textId="77777777" w:rsidR="004E6D00" w:rsidRPr="009D6365" w:rsidRDefault="004E6D00" w:rsidP="004E6D00">
            <w:pPr>
              <w:rPr>
                <w:rFonts w:ascii="Arial Narrow" w:hAnsi="Arial Narrow"/>
                <w:sz w:val="22"/>
                <w:lang w:val="es-ES"/>
              </w:rPr>
            </w:pPr>
            <w:r w:rsidRPr="009D6365">
              <w:rPr>
                <w:rFonts w:ascii="Arial Narrow" w:hAnsi="Arial Narrow"/>
                <w:sz w:val="22"/>
                <w:lang w:val="es-ES"/>
              </w:rPr>
              <w:t>R63H</w:t>
            </w:r>
          </w:p>
          <w:p w14:paraId="3FDE8751" w14:textId="35D4186B" w:rsidR="008E6675" w:rsidRPr="00251296" w:rsidRDefault="004E6D00" w:rsidP="00FB1394">
            <w:pPr>
              <w:rPr>
                <w:lang w:val="en-US"/>
              </w:rPr>
            </w:pPr>
            <w:r w:rsidRPr="00251296">
              <w:rPr>
                <w:rFonts w:ascii="Arial Narrow" w:hAnsi="Arial Narrow"/>
                <w:sz w:val="22"/>
                <w:lang w:val="en-US"/>
              </w:rPr>
              <w:t>A36B</w:t>
            </w:r>
          </w:p>
        </w:tc>
      </w:tr>
    </w:tbl>
    <w:p w14:paraId="4E6FC927" w14:textId="77777777" w:rsidR="008E6675" w:rsidRPr="00251296" w:rsidRDefault="008E6675" w:rsidP="005638EB">
      <w:pPr>
        <w:rPr>
          <w:rFonts w:ascii="Arial Narrow" w:hAnsi="Arial Narrow"/>
          <w:b/>
          <w:lang w:val="en-U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E9DF4AB" w14:textId="77777777">
        <w:tc>
          <w:tcPr>
            <w:tcW w:w="9212" w:type="dxa"/>
          </w:tcPr>
          <w:p w14:paraId="3184CC4A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8E6675" w:rsidRPr="00ED4386" w14:paraId="3100E4A7" w14:textId="77777777">
        <w:tc>
          <w:tcPr>
            <w:tcW w:w="9212" w:type="dxa"/>
          </w:tcPr>
          <w:p w14:paraId="2A88A15E" w14:textId="55842FAA" w:rsidR="002A242F" w:rsidRPr="0062180E" w:rsidRDefault="002A242F" w:rsidP="002A242F">
            <w:pPr>
              <w:rPr>
                <w:rFonts w:ascii="Arial Narrow" w:hAnsi="Arial Narrow"/>
                <w:sz w:val="22"/>
              </w:rPr>
            </w:pPr>
            <w:proofErr w:type="spellStart"/>
            <w:r w:rsidRPr="0062180E">
              <w:rPr>
                <w:rFonts w:ascii="Arial Narrow" w:hAnsi="Arial Narrow"/>
                <w:sz w:val="22"/>
              </w:rPr>
              <w:t>Tisagenlecleucel</w:t>
            </w:r>
            <w:proofErr w:type="spellEnd"/>
            <w:r w:rsidRPr="0062180E">
              <w:rPr>
                <w:rFonts w:ascii="Arial Narrow" w:hAnsi="Arial Narrow"/>
                <w:sz w:val="22"/>
              </w:rPr>
              <w:t xml:space="preserve"> wurde im Jahr 2018 zugelassen und ist seit dem Jahr 2018 in Deutschland auf dem Markt. </w:t>
            </w:r>
          </w:p>
          <w:p w14:paraId="56A36CE9" w14:textId="6E6B3985" w:rsidR="002A242F" w:rsidRPr="00ED4386" w:rsidRDefault="002A242F" w:rsidP="002A242F">
            <w:pPr>
              <w:rPr>
                <w:rFonts w:ascii="Arial Narrow" w:hAnsi="Arial Narrow"/>
                <w:sz w:val="22"/>
              </w:rPr>
            </w:pPr>
            <w:r w:rsidRPr="0062180E">
              <w:rPr>
                <w:rFonts w:ascii="Arial Narrow" w:hAnsi="Arial Narrow"/>
                <w:sz w:val="22"/>
              </w:rPr>
              <w:t>Für das Datenjahr 2023 sollten aus den Kalkulationshäusern Kostendaten für den Einsatz vorliegen.</w:t>
            </w:r>
            <w:r w:rsidRPr="00ED4386">
              <w:rPr>
                <w:rFonts w:ascii="Arial Narrow" w:hAnsi="Arial Narrow"/>
                <w:sz w:val="22"/>
              </w:rPr>
              <w:t xml:space="preserve"> </w:t>
            </w:r>
          </w:p>
          <w:p w14:paraId="569617B6" w14:textId="245DC43A" w:rsidR="002A242F" w:rsidRPr="00ED4386" w:rsidRDefault="002A242F" w:rsidP="002A242F">
            <w:pPr>
              <w:rPr>
                <w:rFonts w:ascii="Arial Narrow" w:hAnsi="Arial Narrow"/>
                <w:sz w:val="22"/>
              </w:rPr>
            </w:pPr>
            <w:r w:rsidRPr="00ED4386">
              <w:rPr>
                <w:rFonts w:ascii="Arial Narrow" w:hAnsi="Arial Narrow"/>
                <w:sz w:val="22"/>
              </w:rPr>
              <w:t>Wir vermuten, dass die Stichprobe jedoch zu klein war, als dass genügend Kosten- und Leistungsinformationen aus den Krankenhäusern vorliegen, um damit eine sachgerechte Abbildung im G-DRG System 202</w:t>
            </w:r>
            <w:r w:rsidR="00240F0E">
              <w:rPr>
                <w:rFonts w:ascii="Arial Narrow" w:hAnsi="Arial Narrow"/>
                <w:sz w:val="22"/>
              </w:rPr>
              <w:t>5</w:t>
            </w:r>
            <w:r w:rsidRPr="00ED4386">
              <w:rPr>
                <w:rFonts w:ascii="Arial Narrow" w:hAnsi="Arial Narrow"/>
                <w:sz w:val="22"/>
              </w:rPr>
              <w:t xml:space="preserve"> zu ermöglichen.</w:t>
            </w:r>
          </w:p>
          <w:p w14:paraId="57187EA0" w14:textId="6B6D0384" w:rsidR="002A242F" w:rsidRPr="00ED4386" w:rsidRDefault="002A242F">
            <w:pPr>
              <w:rPr>
                <w:rFonts w:ascii="Arial Narrow" w:hAnsi="Arial Narrow"/>
                <w:sz w:val="22"/>
              </w:rPr>
            </w:pPr>
            <w:r w:rsidRPr="0062180E">
              <w:rPr>
                <w:rFonts w:ascii="Arial Narrow" w:hAnsi="Arial Narrow"/>
                <w:sz w:val="22"/>
              </w:rPr>
              <w:t xml:space="preserve">Die zusätzlichen Kosten von ca. </w:t>
            </w:r>
            <w:r w:rsidR="00240F0E" w:rsidRPr="0062180E">
              <w:rPr>
                <w:rFonts w:ascii="Arial Narrow" w:hAnsi="Arial Narrow"/>
                <w:sz w:val="22"/>
              </w:rPr>
              <w:t>2</w:t>
            </w:r>
            <w:r w:rsidR="00240F0E">
              <w:rPr>
                <w:rFonts w:ascii="Arial Narrow" w:hAnsi="Arial Narrow"/>
                <w:sz w:val="22"/>
              </w:rPr>
              <w:t>39</w:t>
            </w:r>
            <w:r w:rsidR="00B9358A" w:rsidRPr="0062180E">
              <w:rPr>
                <w:rFonts w:ascii="Arial Narrow" w:hAnsi="Arial Narrow"/>
                <w:sz w:val="22"/>
              </w:rPr>
              <w:t>.000</w:t>
            </w:r>
            <w:r w:rsidRPr="0062180E">
              <w:rPr>
                <w:rFonts w:ascii="Arial Narrow" w:hAnsi="Arial Narrow"/>
                <w:sz w:val="22"/>
              </w:rPr>
              <w:t xml:space="preserve"> € </w:t>
            </w:r>
            <w:r w:rsidR="001F109F" w:rsidRPr="0062180E">
              <w:rPr>
                <w:rFonts w:ascii="Arial Narrow" w:hAnsi="Arial Narrow"/>
                <w:sz w:val="22"/>
              </w:rPr>
              <w:t xml:space="preserve">plus </w:t>
            </w:r>
            <w:r w:rsidR="00240F0E">
              <w:rPr>
                <w:rFonts w:ascii="Arial Narrow" w:hAnsi="Arial Narrow"/>
                <w:sz w:val="22"/>
              </w:rPr>
              <w:t>mindestens</w:t>
            </w:r>
            <w:r w:rsidR="00251296">
              <w:rPr>
                <w:rFonts w:ascii="Arial Narrow" w:hAnsi="Arial Narrow"/>
                <w:sz w:val="22"/>
              </w:rPr>
              <w:t xml:space="preserve"> </w:t>
            </w:r>
            <w:r w:rsidR="00251296" w:rsidRPr="00251296">
              <w:rPr>
                <w:rFonts w:ascii="Arial Narrow" w:hAnsi="Arial Narrow"/>
                <w:sz w:val="22"/>
              </w:rPr>
              <w:t>15.</w:t>
            </w:r>
            <w:r w:rsidR="001F109F" w:rsidRPr="00251296">
              <w:rPr>
                <w:rFonts w:ascii="Arial Narrow" w:hAnsi="Arial Narrow"/>
                <w:sz w:val="22"/>
              </w:rPr>
              <w:t>000€</w:t>
            </w:r>
            <w:r w:rsidR="00240F0E">
              <w:rPr>
                <w:rFonts w:ascii="Arial Narrow" w:hAnsi="Arial Narrow"/>
                <w:sz w:val="22"/>
              </w:rPr>
              <w:t xml:space="preserve"> Mehrkosten bei Gabe</w:t>
            </w:r>
            <w:r w:rsidR="001F109F" w:rsidRPr="0062180E">
              <w:rPr>
                <w:rFonts w:ascii="Arial Narrow" w:hAnsi="Arial Narrow"/>
                <w:sz w:val="22"/>
              </w:rPr>
              <w:t xml:space="preserve"> </w:t>
            </w:r>
            <w:r w:rsidRPr="0062180E">
              <w:rPr>
                <w:rFonts w:ascii="Arial Narrow" w:hAnsi="Arial Narrow"/>
                <w:sz w:val="22"/>
              </w:rPr>
              <w:t>pro Applikation/Aufenthalt</w:t>
            </w:r>
            <w:r w:rsidRPr="00ED4386">
              <w:rPr>
                <w:rFonts w:ascii="Arial Narrow" w:hAnsi="Arial Narrow"/>
                <w:sz w:val="22"/>
              </w:rPr>
              <w:t xml:space="preserve"> können aber mit der/den o.g. Fallpauschale(n) allein </w:t>
            </w:r>
            <w:r w:rsidR="00240F0E" w:rsidRPr="00240F0E">
              <w:rPr>
                <w:rFonts w:ascii="Arial Narrow" w:hAnsi="Arial Narrow"/>
                <w:sz w:val="22"/>
              </w:rPr>
              <w:t>n und dem neuen ZE2024-220</w:t>
            </w:r>
            <w:r w:rsidR="00240F0E">
              <w:rPr>
                <w:rFonts w:ascii="Arial Narrow" w:hAnsi="Arial Narrow"/>
                <w:sz w:val="22"/>
              </w:rPr>
              <w:t xml:space="preserve"> </w:t>
            </w:r>
            <w:r w:rsidRPr="00ED4386">
              <w:rPr>
                <w:rFonts w:ascii="Arial Narrow" w:hAnsi="Arial Narrow"/>
                <w:sz w:val="22"/>
              </w:rPr>
              <w:t xml:space="preserve">nicht ausreichend abgebildet werden und </w:t>
            </w:r>
            <w:proofErr w:type="spellStart"/>
            <w:r w:rsidR="00B9358A">
              <w:rPr>
                <w:rFonts w:ascii="Arial Narrow" w:hAnsi="Arial Narrow"/>
                <w:sz w:val="22"/>
              </w:rPr>
              <w:t>Tisagenlecleucel</w:t>
            </w:r>
            <w:proofErr w:type="spellEnd"/>
            <w:r w:rsidRPr="00ED4386">
              <w:rPr>
                <w:rFonts w:ascii="Arial Narrow" w:hAnsi="Arial Narrow"/>
                <w:sz w:val="22"/>
              </w:rPr>
              <w:t xml:space="preserve"> ist bisher im ZE Katalog nicht enthalten. </w:t>
            </w:r>
          </w:p>
          <w:p w14:paraId="720B2960" w14:textId="77777777" w:rsidR="002A242F" w:rsidRDefault="002A242F" w:rsidP="00A150C7">
            <w:pPr>
              <w:rPr>
                <w:rFonts w:ascii="Arial Narrow" w:hAnsi="Arial Narrow"/>
                <w:sz w:val="22"/>
              </w:rPr>
            </w:pPr>
            <w:r w:rsidRPr="00ED4386">
              <w:rPr>
                <w:rFonts w:ascii="Arial Narrow" w:hAnsi="Arial Narrow"/>
                <w:sz w:val="22"/>
              </w:rPr>
              <w:t xml:space="preserve">Aufgrund der hohen Kosten des Medikaments kommt es zu einer Unterfinanzierung in den </w:t>
            </w:r>
            <w:r w:rsidRPr="00620855">
              <w:rPr>
                <w:rFonts w:ascii="Arial Narrow" w:hAnsi="Arial Narrow"/>
                <w:sz w:val="22"/>
              </w:rPr>
              <w:t xml:space="preserve">entsprechenden Fällen </w:t>
            </w:r>
            <w:r>
              <w:rPr>
                <w:rFonts w:ascii="Arial Narrow" w:hAnsi="Arial Narrow"/>
                <w:sz w:val="22"/>
              </w:rPr>
              <w:t xml:space="preserve">der </w:t>
            </w:r>
            <w:r w:rsidRPr="00ED4386">
              <w:rPr>
                <w:rFonts w:ascii="Arial Narrow" w:hAnsi="Arial Narrow"/>
                <w:sz w:val="22"/>
              </w:rPr>
              <w:t>betroffenen DRG</w:t>
            </w:r>
            <w:r>
              <w:rPr>
                <w:rFonts w:ascii="Arial Narrow" w:hAnsi="Arial Narrow"/>
                <w:sz w:val="22"/>
              </w:rPr>
              <w:t>(s)</w:t>
            </w:r>
            <w:r w:rsidRPr="00ED4386">
              <w:rPr>
                <w:rFonts w:ascii="Arial Narrow" w:hAnsi="Arial Narrow"/>
                <w:sz w:val="22"/>
              </w:rPr>
              <w:t>.</w:t>
            </w:r>
          </w:p>
          <w:p w14:paraId="222643B9" w14:textId="1AF7AA1A" w:rsidR="00240F0E" w:rsidRPr="00ED4386" w:rsidRDefault="00240F0E" w:rsidP="00A150C7">
            <w:pPr>
              <w:rPr>
                <w:rFonts w:ascii="Arial Narrow" w:hAnsi="Arial Narrow"/>
                <w:sz w:val="22"/>
              </w:rPr>
            </w:pPr>
            <w:r w:rsidRPr="00240F0E">
              <w:rPr>
                <w:rFonts w:ascii="Arial Narrow" w:hAnsi="Arial Narrow"/>
                <w:sz w:val="22"/>
              </w:rPr>
              <w:t>Weitere CAR-T-Zell-Therapien mit teilweise überschneidenden Indikationen hatten 2024 ebenfalls NUB-Status 1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</w:tbl>
    <w:p w14:paraId="0A50A959" w14:textId="77777777" w:rsidR="008E6675" w:rsidRPr="005638EB" w:rsidRDefault="008E6675" w:rsidP="005638EB">
      <w:pPr>
        <w:rPr>
          <w:rFonts w:ascii="Arial Narrow" w:hAnsi="Arial Narrow"/>
        </w:rPr>
      </w:pPr>
    </w:p>
    <w:sectPr w:rsidR="008E6675" w:rsidRPr="005638EB" w:rsidSect="004E1D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F7278" w16cex:dateUtc="2023-08-22T15:44:00Z"/>
  <w16cex:commentExtensible w16cex:durableId="32352EEB" w16cex:dateUtc="2023-09-01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9F0B3D" w16cid:durableId="288F7278"/>
  <w16cid:commentId w16cid:paraId="18FEA725" w16cid:durableId="32352E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FC571" w14:textId="77777777" w:rsidR="005F736F" w:rsidRDefault="005F736F">
      <w:r>
        <w:separator/>
      </w:r>
    </w:p>
  </w:endnote>
  <w:endnote w:type="continuationSeparator" w:id="0">
    <w:p w14:paraId="7054A587" w14:textId="77777777" w:rsidR="005F736F" w:rsidRDefault="005F736F">
      <w:r>
        <w:continuationSeparator/>
      </w:r>
    </w:p>
  </w:endnote>
  <w:endnote w:type="continuationNotice" w:id="1">
    <w:p w14:paraId="2D1DA212" w14:textId="77777777" w:rsidR="005F736F" w:rsidRDefault="005F7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0D3AE" w14:textId="77777777" w:rsidR="00240F0E" w:rsidRDefault="00240F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76D3D" w14:textId="2A1A1311" w:rsidR="00F64982" w:rsidRPr="00650179" w:rsidRDefault="00F64982" w:rsidP="00435583">
    <w:pPr>
      <w:pStyle w:val="Fuzeile"/>
      <w:rPr>
        <w:rFonts w:ascii="Arial Narrow" w:hAnsi="Arial Narrow"/>
        <w:sz w:val="22"/>
        <w:szCs w:val="22"/>
      </w:rPr>
    </w:pPr>
    <w:r w:rsidRPr="00650179">
      <w:rPr>
        <w:rFonts w:ascii="Arial Narrow" w:hAnsi="Arial Narrow"/>
        <w:sz w:val="22"/>
        <w:szCs w:val="22"/>
      </w:rPr>
      <w:t xml:space="preserve">NUB-Musteranfrage </w:t>
    </w:r>
    <w:r w:rsidR="00482185" w:rsidRPr="00650179">
      <w:rPr>
        <w:rFonts w:ascii="Arial Narrow" w:hAnsi="Arial Narrow"/>
        <w:sz w:val="22"/>
        <w:szCs w:val="22"/>
      </w:rPr>
      <w:t xml:space="preserve">Gabe von CAR T-Zellen: </w:t>
    </w:r>
    <w:proofErr w:type="spellStart"/>
    <w:r w:rsidR="00482185" w:rsidRPr="00650179">
      <w:rPr>
        <w:rFonts w:ascii="Arial Narrow" w:hAnsi="Arial Narrow"/>
        <w:sz w:val="22"/>
        <w:szCs w:val="22"/>
      </w:rPr>
      <w:t>Tisagenlecleucel</w:t>
    </w:r>
    <w:proofErr w:type="spellEnd"/>
  </w:p>
  <w:p w14:paraId="5EA00C28" w14:textId="77777777" w:rsidR="00650179" w:rsidRPr="00650179" w:rsidRDefault="00650179" w:rsidP="00650179">
    <w:pPr>
      <w:pStyle w:val="Fuzeile"/>
      <w:rPr>
        <w:rFonts w:ascii="Arial Narrow" w:hAnsi="Arial Narrow"/>
        <w:sz w:val="22"/>
        <w:szCs w:val="22"/>
      </w:rPr>
    </w:pPr>
    <w:r w:rsidRPr="00650179">
      <w:rPr>
        <w:rStyle w:val="Hyperlink"/>
        <w:rFonts w:ascii="Arial Narrow" w:hAnsi="Arial Narrow"/>
        <w:sz w:val="22"/>
        <w:szCs w:val="22"/>
      </w:rPr>
      <w:t>Expertengremium DRG der Gesellschaft für Pädiatrische Onkologie und Hämatologie</w:t>
    </w:r>
  </w:p>
  <w:p w14:paraId="3CFF3425" w14:textId="77777777" w:rsidR="00650179" w:rsidRPr="00650179" w:rsidRDefault="00650179" w:rsidP="00650179">
    <w:pPr>
      <w:pStyle w:val="Fuzeile"/>
      <w:rPr>
        <w:rFonts w:ascii="Arial Narrow" w:hAnsi="Arial Narrow"/>
        <w:sz w:val="22"/>
        <w:szCs w:val="22"/>
      </w:rPr>
    </w:pPr>
    <w:r w:rsidRPr="00650179">
      <w:rPr>
        <w:rFonts w:ascii="Arial Narrow" w:hAnsi="Arial Narrow"/>
        <w:sz w:val="22"/>
        <w:szCs w:val="22"/>
      </w:rPr>
      <w:t>www.gpoh.de</w:t>
    </w:r>
  </w:p>
  <w:p w14:paraId="25805293" w14:textId="778B8F39" w:rsidR="00650179" w:rsidRPr="00650179" w:rsidRDefault="00650179" w:rsidP="00650179">
    <w:pPr>
      <w:pStyle w:val="Fuzeile"/>
      <w:rPr>
        <w:rFonts w:ascii="Arial Narrow" w:hAnsi="Arial Narrow"/>
        <w:sz w:val="22"/>
        <w:szCs w:val="22"/>
      </w:rPr>
    </w:pPr>
    <w:r w:rsidRPr="00650179">
      <w:rPr>
        <w:rFonts w:ascii="Arial Narrow" w:hAnsi="Arial Narrow"/>
        <w:snapToGrid w:val="0"/>
        <w:sz w:val="22"/>
        <w:szCs w:val="22"/>
      </w:rPr>
      <w:t xml:space="preserve">Seite </w:t>
    </w:r>
    <w:r w:rsidRPr="00650179">
      <w:rPr>
        <w:rFonts w:ascii="Arial Narrow" w:hAnsi="Arial Narrow"/>
        <w:snapToGrid w:val="0"/>
        <w:sz w:val="22"/>
        <w:szCs w:val="22"/>
      </w:rPr>
      <w:fldChar w:fldCharType="begin"/>
    </w:r>
    <w:r w:rsidRPr="00650179">
      <w:rPr>
        <w:rFonts w:ascii="Arial Narrow" w:hAnsi="Arial Narrow"/>
        <w:snapToGrid w:val="0"/>
        <w:sz w:val="22"/>
        <w:szCs w:val="22"/>
      </w:rPr>
      <w:instrText xml:space="preserve"> PAGE </w:instrText>
    </w:r>
    <w:r w:rsidRPr="00650179">
      <w:rPr>
        <w:rFonts w:ascii="Arial Narrow" w:hAnsi="Arial Narrow"/>
        <w:snapToGrid w:val="0"/>
        <w:sz w:val="22"/>
        <w:szCs w:val="22"/>
      </w:rPr>
      <w:fldChar w:fldCharType="separate"/>
    </w:r>
    <w:r>
      <w:rPr>
        <w:rFonts w:ascii="Arial Narrow" w:hAnsi="Arial Narrow"/>
        <w:noProof/>
        <w:snapToGrid w:val="0"/>
        <w:sz w:val="22"/>
        <w:szCs w:val="22"/>
      </w:rPr>
      <w:t>1</w:t>
    </w:r>
    <w:r w:rsidRPr="00650179">
      <w:rPr>
        <w:rFonts w:ascii="Arial Narrow" w:hAnsi="Arial Narrow"/>
        <w:snapToGrid w:val="0"/>
        <w:sz w:val="22"/>
        <w:szCs w:val="22"/>
      </w:rPr>
      <w:fldChar w:fldCharType="end"/>
    </w:r>
    <w:r w:rsidRPr="00650179">
      <w:rPr>
        <w:rFonts w:ascii="Arial Narrow" w:hAnsi="Arial Narrow"/>
        <w:snapToGrid w:val="0"/>
        <w:sz w:val="22"/>
        <w:szCs w:val="22"/>
      </w:rPr>
      <w:t xml:space="preserve"> von </w:t>
    </w:r>
    <w:r w:rsidRPr="00650179">
      <w:rPr>
        <w:rFonts w:ascii="Arial Narrow" w:hAnsi="Arial Narrow"/>
        <w:snapToGrid w:val="0"/>
        <w:sz w:val="22"/>
        <w:szCs w:val="22"/>
      </w:rPr>
      <w:fldChar w:fldCharType="begin"/>
    </w:r>
    <w:r w:rsidRPr="00650179">
      <w:rPr>
        <w:rFonts w:ascii="Arial Narrow" w:hAnsi="Arial Narrow"/>
        <w:snapToGrid w:val="0"/>
        <w:sz w:val="22"/>
        <w:szCs w:val="22"/>
      </w:rPr>
      <w:instrText xml:space="preserve"> NUMPAGES </w:instrText>
    </w:r>
    <w:r w:rsidRPr="00650179">
      <w:rPr>
        <w:rFonts w:ascii="Arial Narrow" w:hAnsi="Arial Narrow"/>
        <w:snapToGrid w:val="0"/>
        <w:sz w:val="22"/>
        <w:szCs w:val="22"/>
      </w:rPr>
      <w:fldChar w:fldCharType="separate"/>
    </w:r>
    <w:r>
      <w:rPr>
        <w:rFonts w:ascii="Arial Narrow" w:hAnsi="Arial Narrow"/>
        <w:noProof/>
        <w:snapToGrid w:val="0"/>
        <w:sz w:val="22"/>
        <w:szCs w:val="22"/>
      </w:rPr>
      <w:t>4</w:t>
    </w:r>
    <w:r w:rsidRPr="00650179">
      <w:rPr>
        <w:rFonts w:ascii="Arial Narrow" w:hAnsi="Arial Narrow"/>
        <w:snapToGrid w:val="0"/>
        <w:sz w:val="22"/>
        <w:szCs w:val="22"/>
      </w:rPr>
      <w:fldChar w:fldCharType="end"/>
    </w:r>
  </w:p>
  <w:p w14:paraId="46EC90CB" w14:textId="486B05B3" w:rsidR="00650179" w:rsidRPr="00650179" w:rsidRDefault="00650179" w:rsidP="00650179">
    <w:pPr>
      <w:pStyle w:val="Fuzeile"/>
      <w:rPr>
        <w:rFonts w:ascii="Arial Narrow" w:hAnsi="Arial Narrow"/>
        <w:color w:val="000000" w:themeColor="text1"/>
        <w:sz w:val="22"/>
        <w:szCs w:val="22"/>
      </w:rPr>
    </w:pPr>
    <w:r>
      <w:rPr>
        <w:rFonts w:ascii="Arial Narrow" w:hAnsi="Arial Narrow"/>
        <w:sz w:val="22"/>
        <w:szCs w:val="22"/>
      </w:rPr>
      <w:t>Finale Version 04</w:t>
    </w:r>
    <w:bookmarkStart w:id="0" w:name="_GoBack"/>
    <w:bookmarkEnd w:id="0"/>
    <w:r w:rsidRPr="00650179">
      <w:rPr>
        <w:rFonts w:ascii="Arial Narrow" w:hAnsi="Arial Narrow"/>
        <w:sz w:val="22"/>
        <w:szCs w:val="22"/>
      </w:rPr>
      <w:t>.10.2024</w:t>
    </w:r>
  </w:p>
  <w:p w14:paraId="7C7B88D8" w14:textId="77777777" w:rsidR="00650179" w:rsidRPr="00B9358A" w:rsidRDefault="00650179" w:rsidP="00650179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6B1E4" w14:textId="77777777" w:rsidR="00240F0E" w:rsidRDefault="00240F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D76F9" w14:textId="77777777" w:rsidR="005F736F" w:rsidRDefault="005F736F">
      <w:r>
        <w:separator/>
      </w:r>
    </w:p>
  </w:footnote>
  <w:footnote w:type="continuationSeparator" w:id="0">
    <w:p w14:paraId="5036BBCD" w14:textId="77777777" w:rsidR="005F736F" w:rsidRDefault="005F736F">
      <w:r>
        <w:continuationSeparator/>
      </w:r>
    </w:p>
  </w:footnote>
  <w:footnote w:type="continuationNotice" w:id="1">
    <w:p w14:paraId="5B94D53B" w14:textId="77777777" w:rsidR="005F736F" w:rsidRDefault="005F73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B41DA" w14:textId="77777777" w:rsidR="00240F0E" w:rsidRDefault="00240F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58799" w14:textId="7B13DB44" w:rsidR="00F64982" w:rsidRDefault="00F64982" w:rsidP="001363FF">
    <w:pPr>
      <w:pStyle w:val="Titel"/>
      <w:rPr>
        <w:sz w:val="48"/>
      </w:rPr>
    </w:pPr>
    <w:r w:rsidRPr="004C4F82">
      <w:rPr>
        <w:sz w:val="48"/>
      </w:rPr>
      <w:t>NUB Antrag 20</w:t>
    </w:r>
    <w:r>
      <w:rPr>
        <w:sz w:val="48"/>
      </w:rPr>
      <w:t>2</w:t>
    </w:r>
    <w:r w:rsidR="001363FF">
      <w:rPr>
        <w:sz w:val="48"/>
      </w:rPr>
      <w:t>4</w:t>
    </w:r>
    <w:r w:rsidRPr="004C4F82">
      <w:rPr>
        <w:sz w:val="48"/>
      </w:rPr>
      <w:t>/20</w:t>
    </w:r>
    <w:r>
      <w:rPr>
        <w:sz w:val="48"/>
      </w:rPr>
      <w:t>2</w:t>
    </w:r>
    <w:r w:rsidR="001363FF">
      <w:rPr>
        <w:sz w:val="48"/>
      </w:rPr>
      <w:t>5</w:t>
    </w:r>
    <w:r w:rsidRPr="004C4F82">
      <w:rPr>
        <w:sz w:val="48"/>
      </w:rPr>
      <w:t xml:space="preserve"> </w:t>
    </w:r>
    <w:proofErr w:type="spellStart"/>
    <w:r w:rsidR="00482185" w:rsidRPr="001D79A8">
      <w:rPr>
        <w:sz w:val="48"/>
      </w:rPr>
      <w:t>Tisagenlecleucel</w:t>
    </w:r>
    <w:proofErr w:type="spellEnd"/>
  </w:p>
  <w:p w14:paraId="38DF28C4" w14:textId="77777777" w:rsidR="00F64982" w:rsidRDefault="00F649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636BD" w14:textId="77777777" w:rsidR="00240F0E" w:rsidRDefault="00240F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E794084-83B0-4B46-BD37-262E0589DDB9}"/>
    <w:docVar w:name="dgnword-eventsink" w:val="507668536"/>
  </w:docVars>
  <w:rsids>
    <w:rsidRoot w:val="00234FB1"/>
    <w:rsid w:val="00002CB8"/>
    <w:rsid w:val="00015BCA"/>
    <w:rsid w:val="00024651"/>
    <w:rsid w:val="0003142D"/>
    <w:rsid w:val="0004094A"/>
    <w:rsid w:val="00044597"/>
    <w:rsid w:val="00064D6E"/>
    <w:rsid w:val="00065A38"/>
    <w:rsid w:val="00072A33"/>
    <w:rsid w:val="00087E44"/>
    <w:rsid w:val="000953D2"/>
    <w:rsid w:val="000C704A"/>
    <w:rsid w:val="000D615D"/>
    <w:rsid w:val="00102E6B"/>
    <w:rsid w:val="00104C97"/>
    <w:rsid w:val="001363FF"/>
    <w:rsid w:val="001419B0"/>
    <w:rsid w:val="00156FE0"/>
    <w:rsid w:val="00166A28"/>
    <w:rsid w:val="00167E9A"/>
    <w:rsid w:val="00174C6A"/>
    <w:rsid w:val="001774E7"/>
    <w:rsid w:val="00180B17"/>
    <w:rsid w:val="001812EC"/>
    <w:rsid w:val="001A7AC7"/>
    <w:rsid w:val="001F109F"/>
    <w:rsid w:val="001F4753"/>
    <w:rsid w:val="002005AF"/>
    <w:rsid w:val="002127A6"/>
    <w:rsid w:val="002333FF"/>
    <w:rsid w:val="00234FB1"/>
    <w:rsid w:val="00240E51"/>
    <w:rsid w:val="00240F0E"/>
    <w:rsid w:val="00251296"/>
    <w:rsid w:val="00253ECE"/>
    <w:rsid w:val="00256B7C"/>
    <w:rsid w:val="00276E86"/>
    <w:rsid w:val="0028432D"/>
    <w:rsid w:val="00285AE4"/>
    <w:rsid w:val="002A242F"/>
    <w:rsid w:val="002D7403"/>
    <w:rsid w:val="002E5E26"/>
    <w:rsid w:val="00305016"/>
    <w:rsid w:val="00342B92"/>
    <w:rsid w:val="003479E5"/>
    <w:rsid w:val="0036178C"/>
    <w:rsid w:val="0036325A"/>
    <w:rsid w:val="00365884"/>
    <w:rsid w:val="003763CE"/>
    <w:rsid w:val="003B2E05"/>
    <w:rsid w:val="003F2692"/>
    <w:rsid w:val="0040610F"/>
    <w:rsid w:val="0041156E"/>
    <w:rsid w:val="00435583"/>
    <w:rsid w:val="00454847"/>
    <w:rsid w:val="004642E2"/>
    <w:rsid w:val="00467246"/>
    <w:rsid w:val="00482185"/>
    <w:rsid w:val="00492AB4"/>
    <w:rsid w:val="00494C0F"/>
    <w:rsid w:val="00494F68"/>
    <w:rsid w:val="004B3438"/>
    <w:rsid w:val="004B624B"/>
    <w:rsid w:val="004B6C59"/>
    <w:rsid w:val="004C4F82"/>
    <w:rsid w:val="004D00ED"/>
    <w:rsid w:val="004E1D02"/>
    <w:rsid w:val="004E6D00"/>
    <w:rsid w:val="00504FB4"/>
    <w:rsid w:val="0050526A"/>
    <w:rsid w:val="005125E9"/>
    <w:rsid w:val="00541B64"/>
    <w:rsid w:val="005524BC"/>
    <w:rsid w:val="005530A6"/>
    <w:rsid w:val="005638EB"/>
    <w:rsid w:val="0057537C"/>
    <w:rsid w:val="0058381C"/>
    <w:rsid w:val="00596F9A"/>
    <w:rsid w:val="005D445F"/>
    <w:rsid w:val="005F29C6"/>
    <w:rsid w:val="005F4D2E"/>
    <w:rsid w:val="005F736F"/>
    <w:rsid w:val="00604FED"/>
    <w:rsid w:val="00612463"/>
    <w:rsid w:val="00620855"/>
    <w:rsid w:val="0062180E"/>
    <w:rsid w:val="006354B6"/>
    <w:rsid w:val="006451B6"/>
    <w:rsid w:val="006466E2"/>
    <w:rsid w:val="00650179"/>
    <w:rsid w:val="006549F4"/>
    <w:rsid w:val="00664E69"/>
    <w:rsid w:val="00681EC4"/>
    <w:rsid w:val="006C656D"/>
    <w:rsid w:val="006F7F69"/>
    <w:rsid w:val="007600D1"/>
    <w:rsid w:val="007700D3"/>
    <w:rsid w:val="0078272D"/>
    <w:rsid w:val="007914DE"/>
    <w:rsid w:val="00792C33"/>
    <w:rsid w:val="007A314E"/>
    <w:rsid w:val="007A6F09"/>
    <w:rsid w:val="007E5DB1"/>
    <w:rsid w:val="007F0381"/>
    <w:rsid w:val="007F255B"/>
    <w:rsid w:val="00802EF7"/>
    <w:rsid w:val="0080511D"/>
    <w:rsid w:val="00807564"/>
    <w:rsid w:val="00816924"/>
    <w:rsid w:val="00843507"/>
    <w:rsid w:val="00850D44"/>
    <w:rsid w:val="0086722E"/>
    <w:rsid w:val="008857DB"/>
    <w:rsid w:val="00890BC2"/>
    <w:rsid w:val="008B38C2"/>
    <w:rsid w:val="008B4504"/>
    <w:rsid w:val="008B7669"/>
    <w:rsid w:val="008C1686"/>
    <w:rsid w:val="008D12DD"/>
    <w:rsid w:val="008E6675"/>
    <w:rsid w:val="00900E00"/>
    <w:rsid w:val="00925542"/>
    <w:rsid w:val="009463DD"/>
    <w:rsid w:val="009545AF"/>
    <w:rsid w:val="00971A9E"/>
    <w:rsid w:val="00983554"/>
    <w:rsid w:val="009B1C7E"/>
    <w:rsid w:val="009C0B84"/>
    <w:rsid w:val="009C144E"/>
    <w:rsid w:val="009D6365"/>
    <w:rsid w:val="009E591E"/>
    <w:rsid w:val="009E60A3"/>
    <w:rsid w:val="009F49CC"/>
    <w:rsid w:val="00A00CCB"/>
    <w:rsid w:val="00A100DC"/>
    <w:rsid w:val="00A150C7"/>
    <w:rsid w:val="00A2016B"/>
    <w:rsid w:val="00A21E9E"/>
    <w:rsid w:val="00A345A9"/>
    <w:rsid w:val="00A43812"/>
    <w:rsid w:val="00A530BE"/>
    <w:rsid w:val="00A93AAD"/>
    <w:rsid w:val="00A94B7C"/>
    <w:rsid w:val="00AA6B4F"/>
    <w:rsid w:val="00AB10BF"/>
    <w:rsid w:val="00AB6364"/>
    <w:rsid w:val="00AC18AC"/>
    <w:rsid w:val="00AE4C49"/>
    <w:rsid w:val="00B03A61"/>
    <w:rsid w:val="00B574E9"/>
    <w:rsid w:val="00B6570D"/>
    <w:rsid w:val="00B773B8"/>
    <w:rsid w:val="00B9358A"/>
    <w:rsid w:val="00BA6044"/>
    <w:rsid w:val="00BB4A54"/>
    <w:rsid w:val="00BC3D19"/>
    <w:rsid w:val="00BC4042"/>
    <w:rsid w:val="00BE3979"/>
    <w:rsid w:val="00BF11AE"/>
    <w:rsid w:val="00C112A6"/>
    <w:rsid w:val="00C11458"/>
    <w:rsid w:val="00C21654"/>
    <w:rsid w:val="00C35BFE"/>
    <w:rsid w:val="00C676EE"/>
    <w:rsid w:val="00CB3CA3"/>
    <w:rsid w:val="00CB7E53"/>
    <w:rsid w:val="00CC7E5F"/>
    <w:rsid w:val="00CD2365"/>
    <w:rsid w:val="00CE69F3"/>
    <w:rsid w:val="00CF56C3"/>
    <w:rsid w:val="00CF5ECC"/>
    <w:rsid w:val="00CF6086"/>
    <w:rsid w:val="00D14350"/>
    <w:rsid w:val="00D20753"/>
    <w:rsid w:val="00D216BD"/>
    <w:rsid w:val="00D21A79"/>
    <w:rsid w:val="00D41422"/>
    <w:rsid w:val="00D87B96"/>
    <w:rsid w:val="00D9586E"/>
    <w:rsid w:val="00DB14F4"/>
    <w:rsid w:val="00DB4789"/>
    <w:rsid w:val="00DC6CBD"/>
    <w:rsid w:val="00DE0DAA"/>
    <w:rsid w:val="00DF01F8"/>
    <w:rsid w:val="00E24E3B"/>
    <w:rsid w:val="00E53F75"/>
    <w:rsid w:val="00E86725"/>
    <w:rsid w:val="00E90717"/>
    <w:rsid w:val="00E9243F"/>
    <w:rsid w:val="00E92C57"/>
    <w:rsid w:val="00EA2E13"/>
    <w:rsid w:val="00EC0987"/>
    <w:rsid w:val="00ED4386"/>
    <w:rsid w:val="00ED79AA"/>
    <w:rsid w:val="00EE0D0B"/>
    <w:rsid w:val="00EE1581"/>
    <w:rsid w:val="00EE5875"/>
    <w:rsid w:val="00F000AA"/>
    <w:rsid w:val="00F233AA"/>
    <w:rsid w:val="00F35A4F"/>
    <w:rsid w:val="00F60A9D"/>
    <w:rsid w:val="00F64982"/>
    <w:rsid w:val="00F91167"/>
    <w:rsid w:val="00FA6FC5"/>
    <w:rsid w:val="00FB1394"/>
    <w:rsid w:val="00FB46A5"/>
    <w:rsid w:val="00FC7068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702F1469-DCC7-43A5-8476-CF1DA0DC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48218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82185"/>
    <w:rPr>
      <w:rFonts w:ascii="Calibri" w:eastAsiaTheme="minorHAnsi" w:hAnsi="Calibri" w:cstheme="minorBidi"/>
      <w:szCs w:val="21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10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F10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F10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10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10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AE9A3BC0FDD6468809D600103F45DC" ma:contentTypeVersion="18" ma:contentTypeDescription="Ein neues Dokument erstellen." ma:contentTypeScope="" ma:versionID="a8ceee5021ec60157ed8cfb3ebd1da00">
  <xsd:schema xmlns:xsd="http://www.w3.org/2001/XMLSchema" xmlns:xs="http://www.w3.org/2001/XMLSchema" xmlns:p="http://schemas.microsoft.com/office/2006/metadata/properties" xmlns:ns2="58550545-d003-4198-b867-ab879e6c9fb4" xmlns:ns3="68ba53c9-060a-46d7-984d-6df78a3a4203" targetNamespace="http://schemas.microsoft.com/office/2006/metadata/properties" ma:root="true" ma:fieldsID="daa98171ff53e2ba5141d75d7d12b4e0" ns2:_="" ns3:_="">
    <xsd:import namespace="58550545-d003-4198-b867-ab879e6c9fb4"/>
    <xsd:import namespace="68ba53c9-060a-46d7-984d-6df78a3a4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0545-d003-4198-b867-ab879e6c9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0e5f548-56ee-4e65-a752-e1a6909ea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a53c9-060a-46d7-984d-6df78a3a4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f6a1ee-5f8f-424b-ad6a-196271723ecd}" ma:internalName="TaxCatchAll" ma:showField="CatchAllData" ma:web="68ba53c9-060a-46d7-984d-6df78a3a4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9D43F-77B6-42C3-AE43-F58F7A4FB6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FA000-07C2-4C07-84A7-CCDFF093BECD}"/>
</file>

<file path=customXml/itemProps3.xml><?xml version="1.0" encoding="utf-8"?>
<ds:datastoreItem xmlns:ds="http://schemas.openxmlformats.org/officeDocument/2006/customXml" ds:itemID="{22B8C2DA-709E-4277-92B0-29AD6A098F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1309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Massenkeil</dc:creator>
  <cp:lastModifiedBy>Kontny, Udo</cp:lastModifiedBy>
  <cp:revision>5</cp:revision>
  <cp:lastPrinted>2012-10-09T15:17:00Z</cp:lastPrinted>
  <dcterms:created xsi:type="dcterms:W3CDTF">2024-10-07T13:15:00Z</dcterms:created>
  <dcterms:modified xsi:type="dcterms:W3CDTF">2024-10-08T13:03:00Z</dcterms:modified>
</cp:coreProperties>
</file>