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260AC846" w:rsidR="008E6675" w:rsidRPr="005638EB" w:rsidRDefault="008E6675" w:rsidP="00112F99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>
              <w:rPr>
                <w:rFonts w:ascii="Arial Narrow" w:hAnsi="Arial Narrow"/>
                <w:sz w:val="22"/>
              </w:rPr>
              <w:t xml:space="preserve">medizinische </w:t>
            </w:r>
            <w:r w:rsidRPr="005638EB">
              <w:rPr>
                <w:rFonts w:ascii="Arial Narrow" w:hAnsi="Arial Narrow"/>
                <w:sz w:val="22"/>
              </w:rPr>
              <w:t xml:space="preserve">Onkologie e.V. </w:t>
            </w:r>
            <w:r w:rsidR="00270D8D">
              <w:rPr>
                <w:rFonts w:ascii="Arial Narrow" w:hAnsi="Arial Narrow"/>
                <w:sz w:val="22"/>
              </w:rPr>
              <w:t xml:space="preserve">und </w:t>
            </w:r>
            <w:r w:rsidR="00CA7886">
              <w:rPr>
                <w:rFonts w:ascii="Arial Narrow" w:hAnsi="Arial Narrow"/>
                <w:sz w:val="22"/>
              </w:rPr>
              <w:t>d</w:t>
            </w:r>
            <w:r w:rsidR="00270D8D">
              <w:rPr>
                <w:rFonts w:ascii="Arial Narrow" w:hAnsi="Arial Narrow"/>
                <w:sz w:val="22"/>
              </w:rPr>
              <w:t>i</w:t>
            </w:r>
            <w:r w:rsidR="00CA7886">
              <w:rPr>
                <w:rFonts w:ascii="Arial Narrow" w:hAnsi="Arial Narrow"/>
                <w:sz w:val="22"/>
              </w:rPr>
              <w:t>e</w:t>
            </w:r>
            <w:r w:rsidR="00270D8D">
              <w:rPr>
                <w:rFonts w:ascii="Arial Narrow" w:hAnsi="Arial Narrow"/>
                <w:sz w:val="22"/>
              </w:rPr>
              <w:t xml:space="preserve"> </w:t>
            </w:r>
            <w:r w:rsidR="00CA7886">
              <w:rPr>
                <w:rFonts w:ascii="Arial Narrow" w:hAnsi="Arial Narrow"/>
                <w:sz w:val="22"/>
              </w:rPr>
              <w:t xml:space="preserve">Gesellschaft für Pädiatrische Onkologie </w:t>
            </w:r>
            <w:r w:rsidR="00112F99">
              <w:rPr>
                <w:rFonts w:ascii="Arial Narrow" w:hAnsi="Arial Narrow"/>
                <w:sz w:val="22"/>
              </w:rPr>
              <w:t xml:space="preserve">und Hämatologie </w:t>
            </w:r>
            <w:r w:rsidR="00CA7886">
              <w:rPr>
                <w:rFonts w:ascii="Arial Narrow" w:hAnsi="Arial Narrow"/>
                <w:sz w:val="22"/>
              </w:rPr>
              <w:t xml:space="preserve">e.V. </w:t>
            </w:r>
            <w:r w:rsidRPr="005638EB">
              <w:rPr>
                <w:rFonts w:ascii="Arial Narrow" w:hAnsi="Arial Narrow"/>
                <w:sz w:val="22"/>
              </w:rPr>
              <w:t xml:space="preserve">vorformuliert. 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7F255B" w14:paraId="3534B4A0" w14:textId="77777777">
        <w:tc>
          <w:tcPr>
            <w:tcW w:w="9212" w:type="dxa"/>
          </w:tcPr>
          <w:p w14:paraId="2C182448" w14:textId="444C5FB5" w:rsidR="008E6675" w:rsidRPr="009D7CA8" w:rsidRDefault="00B86C0C" w:rsidP="005638EB">
            <w:pPr>
              <w:rPr>
                <w:rFonts w:ascii="Arial Narrow" w:hAnsi="Arial Narrow"/>
                <w:color w:val="000000" w:themeColor="text1"/>
                <w:sz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Ru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>xolitinib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42E01D8C" w:rsidR="008E6675" w:rsidRPr="005638EB" w:rsidRDefault="00B86C0C" w:rsidP="005638EB">
            <w:pPr>
              <w:rPr>
                <w:rFonts w:ascii="Arial Narrow" w:hAnsi="Arial Narrow"/>
              </w:rPr>
            </w:pP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Jakavi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5C4FBBE5" w:rsidR="004C4F82" w:rsidRPr="009D7CA8" w:rsidRDefault="008B7669" w:rsidP="009D7CA8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  <w:r w:rsidR="006C656D">
              <w:rPr>
                <w:rFonts w:ascii="Arial Narrow" w:hAnsi="Arial Narrow"/>
                <w:color w:val="00B050"/>
                <w:sz w:val="22"/>
              </w:rPr>
              <w:t xml:space="preserve"> 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5D8C23E9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ED3724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7DD0679B" w14:textId="6E16DD08" w:rsidR="00492AB4" w:rsidRPr="009D7CA8" w:rsidRDefault="00ED79AA" w:rsidP="009D7CA8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>Bei ja Nummer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79622A1C" w14:textId="2D9CA363" w:rsidR="004B71EB" w:rsidRDefault="004B71EB" w:rsidP="004B71EB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  <w:lang w:val="de-DE"/>
              </w:rPr>
            </w:pPr>
            <w:r w:rsidRPr="0066465C">
              <w:rPr>
                <w:rFonts w:ascii="Arial Narrow" w:hAnsi="Arial Narrow"/>
                <w:b/>
                <w:bCs/>
                <w:sz w:val="22"/>
                <w:szCs w:val="22"/>
                <w:lang w:val="de-DE"/>
              </w:rPr>
              <w:t>Wirk</w:t>
            </w:r>
            <w:r w:rsidR="007D4B30">
              <w:rPr>
                <w:rFonts w:ascii="Arial Narrow" w:hAnsi="Arial Narrow"/>
                <w:b/>
                <w:bCs/>
                <w:sz w:val="22"/>
                <w:szCs w:val="22"/>
                <w:lang w:val="de-DE"/>
              </w:rPr>
              <w:t>weise</w:t>
            </w:r>
          </w:p>
          <w:p w14:paraId="4BDB04C7" w14:textId="77777777" w:rsidR="00B86C0C" w:rsidRPr="00B86C0C" w:rsidRDefault="00B86C0C" w:rsidP="00B86C0C">
            <w:pPr>
              <w:pStyle w:val="Default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ist ein selektiver Hemmer der Janus-assoziierten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Kinasen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(JAKs) JAK1 und JAK2.</w:t>
            </w:r>
          </w:p>
          <w:p w14:paraId="2C532C6C" w14:textId="77777777" w:rsidR="00B86C0C" w:rsidRPr="00B86C0C" w:rsidRDefault="00B86C0C" w:rsidP="00B86C0C">
            <w:pPr>
              <w:pStyle w:val="Defaul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Die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und die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Poylcythaemia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vera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sind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myeloproliferative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Neoplasien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, die mit einer Dysregulation der </w:t>
            </w:r>
          </w:p>
          <w:p w14:paraId="089A19DE" w14:textId="1C3CCC66" w:rsidR="005F4FCF" w:rsidRPr="00B86C0C" w:rsidRDefault="00B86C0C" w:rsidP="00B86C0C">
            <w:pPr>
              <w:pStyle w:val="Default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JAK1- und JAK2-Signalwege in Verbindung steht. Es wird angenommen, dass zu den Ursachen der Dysregulation unter anderem hohe Spiegel zirkulierender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Zytokine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, die den JAK-STAT-Signalweg aktivieren,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Gain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-of-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Function</w:t>
            </w:r>
            <w:proofErr w:type="spellEnd"/>
            <w:r w:rsidR="00ED3724">
              <w:rPr>
                <w:rFonts w:ascii="Arial Narrow" w:hAnsi="Arial Narrow"/>
                <w:sz w:val="22"/>
                <w:szCs w:val="22"/>
                <w:lang w:val="de-DE"/>
              </w:rPr>
              <w:t>-</w:t>
            </w:r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Mutationen wie z. B. JAK2V617F und die Ausschaltung negativer Kontrollmechanismen gehören</w:t>
            </w:r>
            <w:r w:rsidR="00ED3724">
              <w:rPr>
                <w:rFonts w:ascii="Arial Narrow" w:hAnsi="Arial Narrow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hemmt den JAK-STAT-Signalweg, der bei hämatologischer Malignome und bei Immunzelltypen, die eine wichtige Rolle bei der Pathogenese der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>GvDH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ED3724" w:rsidRPr="00B86C0C">
              <w:rPr>
                <w:rFonts w:ascii="Arial Narrow" w:hAnsi="Arial Narrow"/>
                <w:sz w:val="22"/>
                <w:szCs w:val="22"/>
                <w:lang w:val="de-DE"/>
              </w:rPr>
              <w:t>haben.</w:t>
            </w:r>
            <w:r w:rsidRPr="00B86C0C">
              <w:rPr>
                <w:rFonts w:ascii="Arial Narrow" w:hAnsi="Arial Narrow"/>
                <w:sz w:val="22"/>
                <w:szCs w:val="22"/>
                <w:lang w:val="de-DE"/>
              </w:rPr>
              <w:cr/>
            </w:r>
          </w:p>
          <w:p w14:paraId="7B97410E" w14:textId="77777777" w:rsidR="004B71EB" w:rsidRPr="006C093C" w:rsidRDefault="004B71EB" w:rsidP="004B71EB">
            <w:pPr>
              <w:pStyle w:val="Default"/>
              <w:rPr>
                <w:rFonts w:ascii="Arial Narrow" w:hAnsi="Arial Narrow"/>
                <w:sz w:val="23"/>
                <w:szCs w:val="23"/>
                <w:lang w:val="de-DE"/>
              </w:rPr>
            </w:pPr>
            <w:r w:rsidRPr="006C093C">
              <w:rPr>
                <w:rFonts w:ascii="Arial Narrow" w:hAnsi="Arial Narrow"/>
                <w:b/>
                <w:bCs/>
                <w:sz w:val="23"/>
                <w:szCs w:val="23"/>
                <w:lang w:val="de-DE"/>
              </w:rPr>
              <w:t>Evidenzlage</w:t>
            </w:r>
          </w:p>
          <w:p w14:paraId="2B3F4E56" w14:textId="7BE221B4" w:rsidR="00B86C0C" w:rsidRPr="00B86C0C" w:rsidRDefault="00B86C0C" w:rsidP="00B86C0C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wurde in zwei randomisierten,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placebokontrollierten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Phase III -Studien (COMFORT-I, COMFORT-II) bei Patienten mit fortgeschrittener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gegen Placebo, bzw. Best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Available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Therapy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(BAT) untersucht. Der primäre Endpunkt war die Verringerung der Milzgröße um 35%. Dieser wurde in bei Patienten mit JAK-Mutation in 47,8 % versus 0,8% bzw. 32,7 % versus 0% erreicht </w:t>
            </w:r>
          </w:p>
          <w:p w14:paraId="7B80C8EB" w14:textId="77777777" w:rsidR="00B86C0C" w:rsidRDefault="00B86C0C" w:rsidP="00B86C0C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  <w:p w14:paraId="54C60302" w14:textId="79FF2803" w:rsidR="00B86C0C" w:rsidRPr="00B86C0C" w:rsidRDefault="00B86C0C" w:rsidP="00B86C0C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In einer weiteren klinischen Phase III Studie (RESPONSE) zeigte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bei Patienten mit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Polycythaemia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vera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und Resistenz oder Intoleranz gegenüber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Hydroxycarbamid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eine deutliche Wirksamkeit bzgl. der Kontrolle des erhöhten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Hämatokrits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, der Verminderung der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Splenomegalie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, der Verbesserung der Krankheitssymptomatik und der Lebensqualität.</w:t>
            </w:r>
          </w:p>
          <w:p w14:paraId="1FC473BC" w14:textId="77777777" w:rsidR="00B86C0C" w:rsidRDefault="00B86C0C" w:rsidP="00B86C0C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  <w:p w14:paraId="5E6EAB8F" w14:textId="5FE355DE" w:rsidR="00B86C0C" w:rsidRPr="00B86C0C" w:rsidRDefault="00B86C0C" w:rsidP="00B86C0C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wurde in einer Phase III Studie (REACH 2) bei Patienten ab 12 Jahre mit einer akuten steroid-refraktären Graft-versus-Host-Reaktion vom Grad II bis IV nach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allogener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Stammzelltransplantation untersucht. Der primäre Endpunkt war die Overall Response Rate (ORR) zu Tag 28. Dieser wurde erreicht und lag im </w:t>
            </w:r>
            <w:proofErr w:type="spellStart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Arm bei 62,3% vs. einer ORR von 39,4% unter Placebo (p &lt;0.001). Quelle Fachinformation Stand </w:t>
            </w:r>
            <w:r w:rsidR="00ED3724">
              <w:rPr>
                <w:rFonts w:ascii="Arial Narrow" w:hAnsi="Arial Narrow"/>
                <w:bCs/>
                <w:sz w:val="22"/>
                <w:szCs w:val="22"/>
                <w:lang w:val="de-DE"/>
              </w:rPr>
              <w:t>März</w:t>
            </w:r>
            <w:r w:rsidRPr="00B86C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202</w:t>
            </w:r>
            <w:r w:rsidR="00ED3724">
              <w:rPr>
                <w:rFonts w:ascii="Arial Narrow" w:hAnsi="Arial Narrow"/>
                <w:bCs/>
                <w:sz w:val="22"/>
                <w:szCs w:val="22"/>
                <w:lang w:val="de-DE"/>
              </w:rPr>
              <w:t>4</w:t>
            </w:r>
          </w:p>
          <w:p w14:paraId="068136B4" w14:textId="77777777" w:rsidR="00B86C0C" w:rsidRDefault="00B86C0C" w:rsidP="00B86C0C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  <w:p w14:paraId="4F757878" w14:textId="295A4120" w:rsidR="004B71EB" w:rsidRPr="0066465C" w:rsidRDefault="004B71EB" w:rsidP="00B86C0C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  <w:r w:rsidRPr="0066465C">
              <w:rPr>
                <w:rFonts w:ascii="Arial Narrow" w:hAnsi="Arial Narrow"/>
                <w:b/>
                <w:sz w:val="22"/>
                <w:szCs w:val="22"/>
                <w:lang w:val="de-DE"/>
              </w:rPr>
              <w:t xml:space="preserve">Dosis: </w:t>
            </w:r>
          </w:p>
          <w:p w14:paraId="0AF79188" w14:textId="2F620DBA" w:rsidR="0046301A" w:rsidRPr="00231CBC" w:rsidRDefault="00B86C0C" w:rsidP="0046301A">
            <w:pPr>
              <w:rPr>
                <w:rFonts w:ascii="Arial Narrow" w:hAnsi="Arial Narrow"/>
              </w:rPr>
            </w:pPr>
            <w:r w:rsidRPr="00B86C0C">
              <w:rPr>
                <w:rFonts w:ascii="Arial Narrow" w:hAnsi="Arial Narrow"/>
                <w:sz w:val="22"/>
                <w:szCs w:val="22"/>
              </w:rPr>
              <w:t xml:space="preserve">zwischen 20 und </w:t>
            </w:r>
            <w:r w:rsidR="00ED3724">
              <w:rPr>
                <w:rFonts w:ascii="Arial Narrow" w:hAnsi="Arial Narrow"/>
                <w:sz w:val="22"/>
                <w:szCs w:val="22"/>
              </w:rPr>
              <w:t>5</w:t>
            </w:r>
            <w:r w:rsidRPr="00B86C0C">
              <w:rPr>
                <w:rFonts w:ascii="Arial Narrow" w:hAnsi="Arial Narrow"/>
                <w:sz w:val="22"/>
                <w:szCs w:val="22"/>
              </w:rPr>
              <w:t xml:space="preserve">0 mg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</w:rPr>
              <w:t>p.o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</w:rPr>
              <w:t>. täglich.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19C7DEA3" w:rsidR="00CC7E5F" w:rsidRPr="006354B6" w:rsidRDefault="00B86C0C" w:rsidP="004B71EB">
            <w:pPr>
              <w:tabs>
                <w:tab w:val="left" w:pos="3568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6-009</w:t>
            </w:r>
            <w:r w:rsidR="004B71EB" w:rsidRPr="008C3CBB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48201DB1" w14:textId="43CD2CC6" w:rsidR="004C4F82" w:rsidRPr="00435583" w:rsidRDefault="004C4F82" w:rsidP="00435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055DF783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 xml:space="preserve"> (MF)</w:t>
            </w:r>
          </w:p>
          <w:p w14:paraId="00ED226D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ist angezeigt für die Behandlung von krankheitsbedingter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Splenomegalie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oder Symptomen bei </w:t>
            </w:r>
          </w:p>
          <w:p w14:paraId="244E6E2A" w14:textId="110CB5DD" w:rsid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Erwachsenen mit primärer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(auch bekannt als chronische idiopathische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),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PostPolycythaemia-vera-Myelofibrose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oder Post-Essentieller-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Thrombozythämie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-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.</w:t>
            </w:r>
          </w:p>
          <w:p w14:paraId="2FA9AC76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</w:p>
          <w:p w14:paraId="6FE50E6F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Polycythaemia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vera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 xml:space="preserve"> (PV)</w:t>
            </w:r>
          </w:p>
          <w:p w14:paraId="4167A11D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ist angezeigt für die Behandlung von Erwachsenen mit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Polycythaemia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vera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, die resistent oder intolerant </w:t>
            </w:r>
          </w:p>
          <w:p w14:paraId="3F9C9D3E" w14:textId="337EE81D" w:rsid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gegenüber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Hydroxycarbamid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sind.</w:t>
            </w:r>
          </w:p>
          <w:p w14:paraId="269B7535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</w:p>
          <w:p w14:paraId="764926D7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Graft-versus-Host-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Disease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 xml:space="preserve"> (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GvHD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u w:val="single"/>
                <w:shd w:val="clear" w:color="auto" w:fill="FAF9F8"/>
                <w:lang w:val="de-DE"/>
              </w:rPr>
              <w:t>)</w:t>
            </w:r>
          </w:p>
          <w:p w14:paraId="6F6405B5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ist angezeigt für die Behandlung von Patienten ab 12 Jahren mit akuter Graft-versus-Host-Erkrankung </w:t>
            </w:r>
          </w:p>
          <w:p w14:paraId="6B3BD77A" w14:textId="77777777" w:rsidR="00B86C0C" w:rsidRPr="00B86C0C" w:rsidRDefault="00B86C0C" w:rsidP="00B86C0C">
            <w:pPr>
              <w:pStyle w:val="Default"/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</w:pPr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oder chronischer Graft-versus-Host-Erkrankung, die unzureichend auf </w:t>
            </w:r>
            <w:proofErr w:type="spellStart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>Kortikosteroide</w:t>
            </w:r>
            <w:proofErr w:type="spellEnd"/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  <w:lang w:val="de-DE"/>
              </w:rPr>
              <w:t xml:space="preserve"> oder andere systemische </w:t>
            </w:r>
          </w:p>
          <w:p w14:paraId="606B75B1" w14:textId="71C664B8" w:rsidR="00804F14" w:rsidRPr="007F255B" w:rsidRDefault="00B86C0C" w:rsidP="00B86C0C">
            <w:pPr>
              <w:rPr>
                <w:rFonts w:ascii="Arial Narrow" w:hAnsi="Arial Narrow"/>
                <w:sz w:val="22"/>
                <w:szCs w:val="22"/>
              </w:rPr>
            </w:pPr>
            <w:r w:rsidRPr="00B86C0C">
              <w:rPr>
                <w:rFonts w:ascii="Arial Narrow" w:hAnsi="Arial Narrow"/>
                <w:sz w:val="22"/>
                <w:szCs w:val="22"/>
                <w:shd w:val="clear" w:color="auto" w:fill="FAF9F8"/>
              </w:rPr>
              <w:t>Therapien ansprechen.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062E8A56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Ein wesentliches Krankheitssymptom der </w:t>
            </w: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 ist die </w:t>
            </w: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Splenomegalie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. Wegen der in den klinischen Studien </w:t>
            </w:r>
          </w:p>
          <w:p w14:paraId="427DB45F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(COMFORT-I und COMFORT-II) nachgewiesenen Verkleinerung der Milzgröße und des Milzvolumens durch </w:t>
            </w:r>
          </w:p>
          <w:p w14:paraId="6B7D8404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 ist davon auszugehen, dass durch den Einsatz dieser Substanz in der Behandlung der Symptome der </w:t>
            </w:r>
          </w:p>
          <w:p w14:paraId="493E6FAF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Myelofibrose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, die Zahl der in dieser Indikation durchgeführten </w:t>
            </w: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Splenektomien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 und der Milzbestrahlungen </w:t>
            </w:r>
          </w:p>
          <w:p w14:paraId="7B4F6B81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zurückgehen wird.</w:t>
            </w:r>
          </w:p>
          <w:p w14:paraId="30DC3963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 ergänzt die Therapieoptionen der PV.</w:t>
            </w:r>
          </w:p>
          <w:p w14:paraId="0B9258D2" w14:textId="77777777" w:rsidR="00B86C0C" w:rsidRPr="00B86C0C" w:rsidRDefault="00B86C0C" w:rsidP="00B86C0C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</w:pPr>
            <w:proofErr w:type="spellStart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>Ruxolitinib</w:t>
            </w:r>
            <w:proofErr w:type="spellEnd"/>
            <w:r w:rsidRPr="00B86C0C">
              <w:rPr>
                <w:rFonts w:ascii="Arial Narrow" w:hAnsi="Arial Narrow"/>
                <w:color w:val="auto"/>
                <w:sz w:val="22"/>
                <w:szCs w:val="22"/>
                <w:lang w:val="de-DE" w:eastAsia="de-DE"/>
              </w:rPr>
              <w:t xml:space="preserve"> ergänzt als für die GVHD zugelassenes Medikament die bisherigen immunsuppressiven Therapien </w:t>
            </w:r>
          </w:p>
          <w:p w14:paraId="3EC3722F" w14:textId="08661934" w:rsidR="00DF3569" w:rsidRPr="00C11458" w:rsidRDefault="00B86C0C" w:rsidP="00B86C0C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B86C0C">
              <w:rPr>
                <w:rFonts w:ascii="Arial Narrow" w:hAnsi="Arial Narrow"/>
                <w:sz w:val="22"/>
                <w:szCs w:val="22"/>
              </w:rPr>
              <w:t>der GVHD.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B1FDB47" w14:textId="5FB55782" w:rsidR="008E6675" w:rsidRPr="005638EB" w:rsidRDefault="00B86C0C" w:rsidP="00C11458">
            <w:pPr>
              <w:rPr>
                <w:rFonts w:ascii="Arial Narrow" w:hAnsi="Arial Narrow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In den Informationen nach §6 Abs. 2 </w:t>
            </w: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KHEntgG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für 202</w:t>
            </w:r>
            <w:r w:rsidR="00ED3724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hat </w:t>
            </w: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Ruxolitinib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den Status 1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67B8B36C" w:rsidR="0042640C" w:rsidRPr="00B86C0C" w:rsidRDefault="008E6675" w:rsidP="00B86C0C">
            <w:pPr>
              <w:rPr>
                <w:rFonts w:ascii="Arial Narrow" w:hAnsi="Arial Narrow"/>
                <w:sz w:val="22"/>
              </w:rPr>
            </w:pPr>
            <w:r w:rsidRPr="005638EB">
              <w:rPr>
                <w:rFonts w:ascii="Arial Narrow" w:hAnsi="Arial Narrow"/>
                <w:sz w:val="22"/>
              </w:rPr>
              <w:t>Zur Veränderung der Verweildauer im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F32F43" w14:paraId="0DF8F781" w14:textId="77777777">
        <w:tc>
          <w:tcPr>
            <w:tcW w:w="9212" w:type="dxa"/>
          </w:tcPr>
          <w:p w14:paraId="7FFC04AC" w14:textId="77777777" w:rsidR="00B86C0C" w:rsidRPr="00824675" w:rsidRDefault="00B86C0C" w:rsidP="00B86C0C">
            <w:pPr>
              <w:rPr>
                <w:rFonts w:ascii="Arial Narrow" w:hAnsi="Arial Narrow"/>
                <w:sz w:val="22"/>
                <w:lang w:val="en-US"/>
              </w:rPr>
            </w:pPr>
            <w:proofErr w:type="spellStart"/>
            <w:r w:rsidRPr="00824675">
              <w:rPr>
                <w:rFonts w:ascii="Arial Narrow" w:hAnsi="Arial Narrow"/>
                <w:sz w:val="22"/>
                <w:lang w:val="en-US"/>
              </w:rPr>
              <w:t>Myelofibrose</w:t>
            </w:r>
            <w:proofErr w:type="spellEnd"/>
            <w:r w:rsidRPr="00824675">
              <w:rPr>
                <w:rFonts w:ascii="Arial Narrow" w:hAnsi="Arial Narrow"/>
                <w:sz w:val="22"/>
                <w:lang w:val="en-US"/>
              </w:rPr>
              <w:t>: 2012</w:t>
            </w:r>
          </w:p>
          <w:p w14:paraId="024C31B3" w14:textId="77777777" w:rsidR="00B86C0C" w:rsidRPr="00824675" w:rsidRDefault="00B86C0C" w:rsidP="00B86C0C">
            <w:pPr>
              <w:rPr>
                <w:rFonts w:ascii="Arial Narrow" w:hAnsi="Arial Narrow"/>
                <w:sz w:val="22"/>
                <w:lang w:val="en-US"/>
              </w:rPr>
            </w:pPr>
            <w:proofErr w:type="spellStart"/>
            <w:r w:rsidRPr="00824675">
              <w:rPr>
                <w:rFonts w:ascii="Arial Narrow" w:hAnsi="Arial Narrow"/>
                <w:sz w:val="22"/>
                <w:lang w:val="en-US"/>
              </w:rPr>
              <w:t>Polycythaemia</w:t>
            </w:r>
            <w:proofErr w:type="spellEnd"/>
            <w:r w:rsidRPr="00824675">
              <w:rPr>
                <w:rFonts w:ascii="Arial Narrow" w:hAnsi="Arial Narrow"/>
                <w:sz w:val="22"/>
                <w:lang w:val="en-US"/>
              </w:rPr>
              <w:t xml:space="preserve"> </w:t>
            </w:r>
            <w:proofErr w:type="spellStart"/>
            <w:r w:rsidRPr="00824675">
              <w:rPr>
                <w:rFonts w:ascii="Arial Narrow" w:hAnsi="Arial Narrow"/>
                <w:sz w:val="22"/>
                <w:lang w:val="en-US"/>
              </w:rPr>
              <w:t>vera</w:t>
            </w:r>
            <w:proofErr w:type="spellEnd"/>
            <w:r w:rsidRPr="00824675">
              <w:rPr>
                <w:rFonts w:ascii="Arial Narrow" w:hAnsi="Arial Narrow"/>
                <w:sz w:val="22"/>
                <w:lang w:val="en-US"/>
              </w:rPr>
              <w:t>: 2015</w:t>
            </w:r>
          </w:p>
          <w:p w14:paraId="256E27C8" w14:textId="401B5334" w:rsidR="00D14350" w:rsidRPr="00824675" w:rsidRDefault="00B86C0C" w:rsidP="00B86C0C">
            <w:pPr>
              <w:rPr>
                <w:rFonts w:ascii="Arial Narrow" w:hAnsi="Arial Narrow"/>
                <w:color w:val="00B050"/>
                <w:sz w:val="22"/>
                <w:lang w:val="en-US"/>
              </w:rPr>
            </w:pPr>
            <w:r w:rsidRPr="00824675">
              <w:rPr>
                <w:rFonts w:ascii="Arial Narrow" w:hAnsi="Arial Narrow"/>
                <w:sz w:val="22"/>
                <w:lang w:val="en-US"/>
              </w:rPr>
              <w:t>Graft-versus-Host-Disease: 2022</w:t>
            </w:r>
          </w:p>
        </w:tc>
      </w:tr>
    </w:tbl>
    <w:p w14:paraId="233BCD28" w14:textId="77777777" w:rsidR="008E6675" w:rsidRPr="00824675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F32F43" w14:paraId="1264FF24" w14:textId="77777777">
        <w:tc>
          <w:tcPr>
            <w:tcW w:w="9212" w:type="dxa"/>
          </w:tcPr>
          <w:p w14:paraId="387A0EB4" w14:textId="77777777" w:rsidR="00044597" w:rsidRPr="00824675" w:rsidRDefault="00B86C0C" w:rsidP="00C112A6">
            <w:pPr>
              <w:rPr>
                <w:rFonts w:ascii="Arial Narrow" w:hAnsi="Arial Narrow" w:cs="Arial"/>
                <w:sz w:val="22"/>
                <w:szCs w:val="22"/>
                <w:shd w:val="clear" w:color="auto" w:fill="FAF9F8"/>
                <w:lang w:val="en-US"/>
              </w:rPr>
            </w:pPr>
            <w:proofErr w:type="spellStart"/>
            <w:r w:rsidRPr="00824675">
              <w:rPr>
                <w:rFonts w:ascii="Arial Narrow" w:hAnsi="Arial Narrow" w:cs="Arial"/>
                <w:sz w:val="22"/>
                <w:szCs w:val="22"/>
                <w:shd w:val="clear" w:color="auto" w:fill="FAF9F8"/>
                <w:lang w:val="en-US"/>
              </w:rPr>
              <w:t>Myelofibrose</w:t>
            </w:r>
            <w:proofErr w:type="spellEnd"/>
            <w:r w:rsidRPr="00824675">
              <w:rPr>
                <w:rFonts w:ascii="Arial Narrow" w:hAnsi="Arial Narrow" w:cs="Arial"/>
                <w:sz w:val="22"/>
                <w:szCs w:val="22"/>
                <w:shd w:val="clear" w:color="auto" w:fill="FAF9F8"/>
                <w:lang w:val="en-US"/>
              </w:rPr>
              <w:t>: 2012</w:t>
            </w:r>
          </w:p>
          <w:p w14:paraId="485127C9" w14:textId="77777777" w:rsidR="00B86C0C" w:rsidRPr="00824675" w:rsidRDefault="00B86C0C" w:rsidP="00B86C0C">
            <w:pPr>
              <w:rPr>
                <w:rFonts w:ascii="Arial Narrow" w:hAnsi="Arial Narrow"/>
                <w:color w:val="000000" w:themeColor="text1"/>
                <w:sz w:val="22"/>
                <w:lang w:val="en-US"/>
              </w:rPr>
            </w:pPr>
            <w:proofErr w:type="spellStart"/>
            <w:r w:rsidRPr="00824675">
              <w:rPr>
                <w:rFonts w:ascii="Arial Narrow" w:hAnsi="Arial Narrow"/>
                <w:color w:val="000000" w:themeColor="text1"/>
                <w:sz w:val="22"/>
                <w:lang w:val="en-US"/>
              </w:rPr>
              <w:t>Polycythaemia</w:t>
            </w:r>
            <w:proofErr w:type="spellEnd"/>
            <w:r w:rsidRPr="00824675">
              <w:rPr>
                <w:rFonts w:ascii="Arial Narrow" w:hAnsi="Arial Narrow"/>
                <w:color w:val="000000" w:themeColor="text1"/>
                <w:sz w:val="22"/>
                <w:lang w:val="en-US"/>
              </w:rPr>
              <w:t xml:space="preserve"> </w:t>
            </w:r>
            <w:proofErr w:type="spellStart"/>
            <w:r w:rsidRPr="00824675">
              <w:rPr>
                <w:rFonts w:ascii="Arial Narrow" w:hAnsi="Arial Narrow"/>
                <w:color w:val="000000" w:themeColor="text1"/>
                <w:sz w:val="22"/>
                <w:lang w:val="en-US"/>
              </w:rPr>
              <w:t>vera</w:t>
            </w:r>
            <w:proofErr w:type="spellEnd"/>
            <w:r w:rsidRPr="00824675">
              <w:rPr>
                <w:rFonts w:ascii="Arial Narrow" w:hAnsi="Arial Narrow"/>
                <w:color w:val="000000" w:themeColor="text1"/>
                <w:sz w:val="22"/>
                <w:lang w:val="en-US"/>
              </w:rPr>
              <w:t>: 2015</w:t>
            </w:r>
          </w:p>
          <w:p w14:paraId="7BB60EDC" w14:textId="6C7023A2" w:rsidR="00B86C0C" w:rsidRPr="00824675" w:rsidRDefault="00B86C0C" w:rsidP="00B86C0C">
            <w:pPr>
              <w:rPr>
                <w:rFonts w:ascii="Arial Narrow" w:hAnsi="Arial Narrow"/>
                <w:color w:val="00B050"/>
                <w:sz w:val="22"/>
                <w:lang w:val="en-US"/>
              </w:rPr>
            </w:pPr>
            <w:r w:rsidRPr="00824675">
              <w:rPr>
                <w:rFonts w:ascii="Arial Narrow" w:hAnsi="Arial Narrow"/>
                <w:color w:val="000000" w:themeColor="text1"/>
                <w:sz w:val="22"/>
                <w:lang w:val="en-US"/>
              </w:rPr>
              <w:t>Graft-versus-Host-Disease: 2022</w:t>
            </w:r>
          </w:p>
        </w:tc>
      </w:tr>
    </w:tbl>
    <w:p w14:paraId="479CCD3D" w14:textId="77777777" w:rsidR="008E6675" w:rsidRPr="00824675" w:rsidRDefault="008E6675" w:rsidP="005638EB">
      <w:pPr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409A36" w14:textId="4AEB063E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Ruxolitinib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wird schätzungsweise in ca. 5</w:t>
            </w:r>
            <w:r w:rsidR="00ED3724">
              <w:rPr>
                <w:rFonts w:ascii="Arial Narrow" w:hAnsi="Arial Narrow" w:cs="Arial"/>
                <w:sz w:val="22"/>
                <w:szCs w:val="22"/>
              </w:rPr>
              <w:t>75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Kliniken in Deutschland eingesetzt (Schätzungen aufgrund der NUB</w:t>
            </w:r>
          </w:p>
          <w:p w14:paraId="21DD9094" w14:textId="4668C5A2" w:rsidR="00C112A6" w:rsidRPr="005638EB" w:rsidRDefault="00B86C0C" w:rsidP="00B86C0C">
            <w:pPr>
              <w:rPr>
                <w:rFonts w:ascii="Arial Narrow" w:hAnsi="Arial Narrow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Anfragen des Vorjahres).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0EA106DC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ED3724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ED3724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5290EFF3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ED3724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1D5228CD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ED3724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73F40D0C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ED3724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57AB3BF4" w14:textId="77777777" w:rsidR="004B71EB" w:rsidRPr="00686CAF" w:rsidRDefault="004B71EB" w:rsidP="004B71E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86CA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Sachkosten: </w:t>
            </w:r>
          </w:p>
          <w:p w14:paraId="4A008EAC" w14:textId="77777777" w:rsidR="00ED3724" w:rsidRPr="00ED3724" w:rsidRDefault="00ED3724" w:rsidP="00ED37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3724">
              <w:rPr>
                <w:rFonts w:ascii="Arial Narrow" w:hAnsi="Arial Narrow" w:cs="Arial"/>
                <w:sz w:val="22"/>
                <w:szCs w:val="22"/>
              </w:rPr>
              <w:t xml:space="preserve">Die empfohlene Dosierung von </w:t>
            </w:r>
            <w:proofErr w:type="spellStart"/>
            <w:r w:rsidRPr="00ED3724">
              <w:rPr>
                <w:rFonts w:ascii="Arial Narrow" w:hAnsi="Arial Narrow" w:cs="Arial"/>
                <w:sz w:val="22"/>
                <w:szCs w:val="22"/>
              </w:rPr>
              <w:t>Ruxolitinib</w:t>
            </w:r>
            <w:proofErr w:type="spellEnd"/>
            <w:r w:rsidRPr="00ED3724">
              <w:rPr>
                <w:rFonts w:ascii="Arial Narrow" w:hAnsi="Arial Narrow" w:cs="Arial"/>
                <w:sz w:val="22"/>
                <w:szCs w:val="22"/>
              </w:rPr>
              <w:t xml:space="preserve"> beträgt zweimal täglich 5 mg bis zu 25 mg.</w:t>
            </w:r>
          </w:p>
          <w:p w14:paraId="126E46F6" w14:textId="1F1E38FF" w:rsidR="00ED3724" w:rsidRPr="00ED3724" w:rsidRDefault="00ED3724" w:rsidP="00ED372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D3724">
              <w:rPr>
                <w:rFonts w:ascii="Arial Narrow" w:hAnsi="Arial Narrow" w:cs="Arial"/>
                <w:sz w:val="22"/>
                <w:szCs w:val="22"/>
              </w:rPr>
              <w:t>Der Preis pro Packung (N2) beträgt 3.953,87€ € bei 56 Tabletten zu 20 mg, 15 mg oder 10 mg. 2.005,76 € bei 56 Tabletten zu 5 mg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D3724">
              <w:rPr>
                <w:rFonts w:ascii="Arial Narrow" w:hAnsi="Arial Narrow" w:cs="Arial"/>
                <w:sz w:val="22"/>
                <w:szCs w:val="22"/>
              </w:rPr>
              <w:t xml:space="preserve">(laut Rote Liste inkl. </w:t>
            </w:r>
            <w:proofErr w:type="spellStart"/>
            <w:r w:rsidRPr="00ED3724">
              <w:rPr>
                <w:rFonts w:ascii="Arial Narrow" w:hAnsi="Arial Narrow" w:cs="Arial"/>
                <w:sz w:val="22"/>
                <w:szCs w:val="22"/>
              </w:rPr>
              <w:t>MWSt</w:t>
            </w:r>
            <w:proofErr w:type="spellEnd"/>
            <w:r w:rsidRPr="00ED3724">
              <w:rPr>
                <w:rFonts w:ascii="Arial Narrow" w:hAnsi="Arial Narrow" w:cs="Arial"/>
                <w:sz w:val="22"/>
                <w:szCs w:val="22"/>
              </w:rPr>
              <w:t>, AVP(EB) Preis Stand 25.08.2024)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09F7DA3" w14:textId="5DD00333" w:rsidR="00ED3724" w:rsidRDefault="00ED3724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D3724">
              <w:rPr>
                <w:rFonts w:ascii="Arial Narrow" w:hAnsi="Arial Narrow" w:cs="Arial"/>
                <w:sz w:val="22"/>
                <w:szCs w:val="22"/>
              </w:rPr>
              <w:t>Daraus ergeben sich Tagestherapiekosten von 71,63 € bis zu 212,84 €, bzw. 501,44 € bis zu 1.482,70 € bei einer angenommenen Verweildauer von 7 Tagen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758BE7C4" w14:textId="77777777" w:rsidR="00ED3724" w:rsidRDefault="00ED3724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14:paraId="190E57A9" w14:textId="2BD716A1" w:rsidR="00B86C0C" w:rsidRP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b/>
                <w:bCs/>
                <w:sz w:val="22"/>
                <w:szCs w:val="22"/>
              </w:rPr>
              <w:t>Personalkosten:</w:t>
            </w:r>
          </w:p>
          <w:p w14:paraId="5645B3DA" w14:textId="1814BC7A" w:rsid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Bei oraler Gabe entsteht kein zusätzlicher Personalaufwand.</w:t>
            </w:r>
          </w:p>
          <w:p w14:paraId="6E8F4BD7" w14:textId="77777777" w:rsidR="00ED3724" w:rsidRPr="00B86C0C" w:rsidRDefault="00ED3724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B119AA5" w14:textId="77777777" w:rsidR="00B86C0C" w:rsidRP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Da das Medikament eine orale Dauertherapie ist, geschieht es eher selten, dass ein Patient für diese orale Gabe </w:t>
            </w:r>
          </w:p>
          <w:p w14:paraId="7D668DB8" w14:textId="77777777" w:rsidR="00B86C0C" w:rsidRP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stationär behandelt wird und somit in eine organspezifische DRG gruppiert wird. Es kommt sehr viel häufiger vor,</w:t>
            </w:r>
          </w:p>
          <w:p w14:paraId="6257CD9E" w14:textId="77777777" w:rsidR="00B86C0C" w:rsidRP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dass der Patient wegen einer anderen Erkrankung aufgenommen wird und dieses Medikament als seine </w:t>
            </w:r>
          </w:p>
          <w:p w14:paraId="5D781750" w14:textId="77777777" w:rsidR="00B86C0C" w:rsidRPr="00B86C0C" w:rsidRDefault="00B86C0C" w:rsidP="00B86C0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Dauermedikation weiter erhält. Die Kosten für dieses Medikament können daher in vielen DRGs vorkommen und </w:t>
            </w:r>
          </w:p>
          <w:p w14:paraId="7D03D20B" w14:textId="63234DFF" w:rsidR="00156FE0" w:rsidRPr="001774E7" w:rsidRDefault="00B86C0C" w:rsidP="00B86C0C">
            <w:pPr>
              <w:rPr>
                <w:rFonts w:ascii="Arial Narrow" w:hAnsi="Arial Narrow"/>
                <w:color w:val="548DD4" w:themeColor="text2" w:themeTint="99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sind möglicherweise auch nicht konkret dem Fall zugeordnet.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2C298D" w14:paraId="56F9F66E" w14:textId="77777777">
        <w:tc>
          <w:tcPr>
            <w:tcW w:w="9212" w:type="dxa"/>
          </w:tcPr>
          <w:p w14:paraId="7CAB8EA8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A61C</w:t>
            </w:r>
          </w:p>
          <w:p w14:paraId="5C8CC674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A36B</w:t>
            </w:r>
          </w:p>
          <w:p w14:paraId="1FA6410F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R61H</w:t>
            </w:r>
          </w:p>
          <w:p w14:paraId="481AAC06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A61A</w:t>
            </w:r>
          </w:p>
          <w:p w14:paraId="42463846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A61B</w:t>
            </w:r>
          </w:p>
          <w:p w14:paraId="3FDE8751" w14:textId="1017ADF2" w:rsidR="003B3FB7" w:rsidRPr="00231CBC" w:rsidRDefault="00B86C0C" w:rsidP="00B86C0C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  <w:lang w:val="es-ES"/>
              </w:rPr>
              <w:t>A04</w:t>
            </w:r>
            <w:r w:rsidR="00ED3724">
              <w:rPr>
                <w:rFonts w:ascii="Arial Narrow" w:hAnsi="Arial Narrow" w:cs="Arial"/>
                <w:sz w:val="22"/>
                <w:szCs w:val="22"/>
                <w:lang w:val="es-ES"/>
              </w:rPr>
              <w:t>E</w:t>
            </w:r>
          </w:p>
        </w:tc>
      </w:tr>
    </w:tbl>
    <w:p w14:paraId="4E6FC927" w14:textId="77777777" w:rsidR="008E6675" w:rsidRPr="00231CBC" w:rsidRDefault="008E6675" w:rsidP="005638EB">
      <w:pPr>
        <w:rPr>
          <w:rFonts w:ascii="Arial Narrow" w:hAnsi="Arial Narrow"/>
          <w:b/>
          <w:lang w:val="es-ES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 w:rsidTr="004B71EB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4B71EB" w:rsidRPr="00ED4386" w14:paraId="3100E4A7" w14:textId="77777777" w:rsidTr="004B71EB">
        <w:tc>
          <w:tcPr>
            <w:tcW w:w="9212" w:type="dxa"/>
          </w:tcPr>
          <w:p w14:paraId="2B860AA6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Ruxolitinib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wurde im Jahr 2012 zugelassen und ist seit dem Jahr 2012 in Deutschland auf dem Markt.</w:t>
            </w:r>
          </w:p>
          <w:p w14:paraId="505357A6" w14:textId="7778DE66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Für das Datenjahr 202</w:t>
            </w:r>
            <w:r w:rsidR="00ED3724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sollten aus den Kalkulationshäusern Kostendaten für den Einsatz vorliegen. </w:t>
            </w:r>
          </w:p>
          <w:p w14:paraId="1269657D" w14:textId="51955905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Wir vermuten, dass die Stichprobe für Patienten mit MF oder PV jedoch zu klein war, als dass genügend </w:t>
            </w: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Kostenund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Leistungsinformationen aus den Krankenhäusern vorliegen, um damit eine sachgerechte Abbildung im G-DRG System 202</w:t>
            </w:r>
            <w:r w:rsidR="00ED3724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zu ermöglichen. </w:t>
            </w:r>
          </w:p>
          <w:p w14:paraId="70672427" w14:textId="6984E36A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Die zusätzlichen Kosten von bis zu ca.</w:t>
            </w:r>
            <w:r w:rsidR="00ED3724">
              <w:rPr>
                <w:rFonts w:ascii="Arial Narrow" w:hAnsi="Arial Narrow" w:cs="Arial"/>
                <w:sz w:val="22"/>
                <w:szCs w:val="22"/>
              </w:rPr>
              <w:t xml:space="preserve"> 211</w:t>
            </w: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€ pro Tag können aber mit der/den o.g. Fallpauschale(n) allein nicht </w:t>
            </w:r>
          </w:p>
          <w:p w14:paraId="3FE2F1C4" w14:textId="77777777" w:rsidR="00B86C0C" w:rsidRPr="00B86C0C" w:rsidRDefault="00B86C0C" w:rsidP="00B86C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ausreichend abgebildet werden und </w:t>
            </w:r>
            <w:proofErr w:type="spellStart"/>
            <w:r w:rsidRPr="00B86C0C">
              <w:rPr>
                <w:rFonts w:ascii="Arial Narrow" w:hAnsi="Arial Narrow" w:cs="Arial"/>
                <w:sz w:val="22"/>
                <w:szCs w:val="22"/>
              </w:rPr>
              <w:t>Ruxolitinib</w:t>
            </w:r>
            <w:proofErr w:type="spellEnd"/>
            <w:r w:rsidRPr="00B86C0C">
              <w:rPr>
                <w:rFonts w:ascii="Arial Narrow" w:hAnsi="Arial Narrow" w:cs="Arial"/>
                <w:sz w:val="22"/>
                <w:szCs w:val="22"/>
              </w:rPr>
              <w:t xml:space="preserve"> ist bisher im ZE-Katalog nicht enthalten.</w:t>
            </w:r>
          </w:p>
          <w:p w14:paraId="222643B9" w14:textId="54163062" w:rsidR="004B71EB" w:rsidRPr="00ED4386" w:rsidRDefault="00B86C0C" w:rsidP="00B86C0C">
            <w:pPr>
              <w:rPr>
                <w:rFonts w:ascii="Arial Narrow" w:hAnsi="Arial Narrow"/>
                <w:sz w:val="22"/>
              </w:rPr>
            </w:pPr>
            <w:r w:rsidRPr="00B86C0C">
              <w:rPr>
                <w:rFonts w:ascii="Arial Narrow" w:hAnsi="Arial Narrow" w:cs="Arial"/>
                <w:sz w:val="22"/>
                <w:szCs w:val="22"/>
              </w:rPr>
              <w:t>Aufgrund der hohen Kosten des Medikaments kommt es zu einer Unterfinanzierung in der/den betroffenen DRG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4B71EB" w:rsidRPr="00686CAF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9A1F" w14:textId="77777777" w:rsidR="0038396C" w:rsidRDefault="0038396C">
      <w:r>
        <w:separator/>
      </w:r>
    </w:p>
  </w:endnote>
  <w:endnote w:type="continuationSeparator" w:id="0">
    <w:p w14:paraId="45A3713C" w14:textId="77777777" w:rsidR="0038396C" w:rsidRDefault="0038396C">
      <w:r>
        <w:continuationSeparator/>
      </w:r>
    </w:p>
  </w:endnote>
  <w:endnote w:type="continuationNotice" w:id="1">
    <w:p w14:paraId="587F7EB6" w14:textId="77777777" w:rsidR="0038396C" w:rsidRDefault="00383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6DDD" w14:textId="77777777" w:rsidR="0095172A" w:rsidRDefault="009517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0"/>
        <w:szCs w:val="20"/>
      </w:rPr>
      <w:id w:val="-189523122"/>
      <w:docPartObj>
        <w:docPartGallery w:val="Page Numbers (Bottom of Page)"/>
        <w:docPartUnique/>
      </w:docPartObj>
    </w:sdtPr>
    <w:sdtEndPr/>
    <w:sdtContent>
      <w:p w14:paraId="2FE81AED" w14:textId="77777777" w:rsidR="00F7141A" w:rsidRPr="00F7141A" w:rsidRDefault="00F7141A" w:rsidP="0095172A">
        <w:pPr>
          <w:pStyle w:val="Fuzeile"/>
          <w:rPr>
            <w:rFonts w:ascii="Arial Narrow" w:hAnsi="Arial Narrow"/>
            <w:sz w:val="22"/>
            <w:szCs w:val="22"/>
          </w:rPr>
        </w:pPr>
        <w:r w:rsidRPr="00F7141A">
          <w:rPr>
            <w:rFonts w:ascii="Arial Narrow" w:hAnsi="Arial Narrow"/>
            <w:sz w:val="22"/>
            <w:szCs w:val="22"/>
          </w:rPr>
          <w:t xml:space="preserve">NUB-Musteranfrage </w:t>
        </w:r>
        <w:proofErr w:type="spellStart"/>
        <w:r w:rsidRPr="00F7141A">
          <w:rPr>
            <w:rFonts w:ascii="Arial Narrow" w:hAnsi="Arial Narrow"/>
            <w:sz w:val="22"/>
            <w:szCs w:val="22"/>
          </w:rPr>
          <w:t>Ruxolitinib</w:t>
        </w:r>
        <w:proofErr w:type="spellEnd"/>
      </w:p>
      <w:p w14:paraId="33F5F094" w14:textId="77777777" w:rsidR="00F7141A" w:rsidRPr="00F7141A" w:rsidRDefault="00F7141A" w:rsidP="00F7141A">
        <w:pPr>
          <w:pStyle w:val="Fuzeile"/>
          <w:rPr>
            <w:rFonts w:ascii="Arial Narrow" w:hAnsi="Arial Narrow"/>
            <w:sz w:val="22"/>
            <w:szCs w:val="22"/>
          </w:rPr>
        </w:pPr>
        <w:r w:rsidRPr="00F7141A">
          <w:rPr>
            <w:rStyle w:val="Hyperlink"/>
            <w:rFonts w:ascii="Arial Narrow" w:hAnsi="Arial Narrow"/>
            <w:sz w:val="22"/>
            <w:szCs w:val="22"/>
          </w:rPr>
          <w:t>Expertengremium DRG der Gesellschaft für Pädiatrische Onkologie und Hämatologie</w:t>
        </w:r>
      </w:p>
      <w:p w14:paraId="7D1B32A8" w14:textId="77777777" w:rsidR="00F7141A" w:rsidRPr="00F7141A" w:rsidRDefault="00F7141A" w:rsidP="00F7141A">
        <w:pPr>
          <w:pStyle w:val="Fuzeile"/>
          <w:rPr>
            <w:rFonts w:ascii="Arial Narrow" w:hAnsi="Arial Narrow"/>
            <w:sz w:val="22"/>
            <w:szCs w:val="22"/>
          </w:rPr>
        </w:pPr>
        <w:r w:rsidRPr="00F7141A">
          <w:rPr>
            <w:rFonts w:ascii="Arial Narrow" w:hAnsi="Arial Narrow"/>
            <w:sz w:val="22"/>
            <w:szCs w:val="22"/>
          </w:rPr>
          <w:t>www.gpoh.de</w:t>
        </w:r>
      </w:p>
      <w:p w14:paraId="17734F85" w14:textId="1007B4BE" w:rsidR="00F7141A" w:rsidRPr="00F7141A" w:rsidRDefault="00F7141A" w:rsidP="00F7141A">
        <w:pPr>
          <w:pStyle w:val="Fuzeile"/>
          <w:rPr>
            <w:rFonts w:ascii="Arial Narrow" w:hAnsi="Arial Narrow"/>
            <w:sz w:val="22"/>
            <w:szCs w:val="22"/>
          </w:rPr>
        </w:pPr>
        <w:r w:rsidRPr="00F7141A">
          <w:rPr>
            <w:rFonts w:ascii="Arial Narrow" w:hAnsi="Arial Narrow"/>
            <w:snapToGrid w:val="0"/>
            <w:sz w:val="22"/>
            <w:szCs w:val="22"/>
          </w:rPr>
          <w:t xml:space="preserve">Seite </w: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begin"/>
        </w:r>
        <w:r w:rsidRPr="00F7141A">
          <w:rPr>
            <w:rFonts w:ascii="Arial Narrow" w:hAnsi="Arial Narrow"/>
            <w:snapToGrid w:val="0"/>
            <w:sz w:val="22"/>
            <w:szCs w:val="22"/>
          </w:rPr>
          <w:instrText xml:space="preserve"> PAGE </w:instrTex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separate"/>
        </w:r>
        <w:r>
          <w:rPr>
            <w:rFonts w:ascii="Arial Narrow" w:hAnsi="Arial Narrow"/>
            <w:noProof/>
            <w:snapToGrid w:val="0"/>
            <w:sz w:val="22"/>
            <w:szCs w:val="22"/>
          </w:rPr>
          <w:t>1</w: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end"/>
        </w:r>
        <w:r w:rsidRPr="00F7141A">
          <w:rPr>
            <w:rFonts w:ascii="Arial Narrow" w:hAnsi="Arial Narrow"/>
            <w:snapToGrid w:val="0"/>
            <w:sz w:val="22"/>
            <w:szCs w:val="22"/>
          </w:rPr>
          <w:t xml:space="preserve"> von </w: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begin"/>
        </w:r>
        <w:r w:rsidRPr="00F7141A">
          <w:rPr>
            <w:rFonts w:ascii="Arial Narrow" w:hAnsi="Arial Narrow"/>
            <w:snapToGrid w:val="0"/>
            <w:sz w:val="22"/>
            <w:szCs w:val="22"/>
          </w:rPr>
          <w:instrText xml:space="preserve"> NUMPAGES </w:instrTex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separate"/>
        </w:r>
        <w:r>
          <w:rPr>
            <w:rFonts w:ascii="Arial Narrow" w:hAnsi="Arial Narrow"/>
            <w:noProof/>
            <w:snapToGrid w:val="0"/>
            <w:sz w:val="22"/>
            <w:szCs w:val="22"/>
          </w:rPr>
          <w:t>4</w:t>
        </w:r>
        <w:r w:rsidRPr="00F7141A">
          <w:rPr>
            <w:rFonts w:ascii="Arial Narrow" w:hAnsi="Arial Narrow"/>
            <w:snapToGrid w:val="0"/>
            <w:sz w:val="22"/>
            <w:szCs w:val="22"/>
          </w:rPr>
          <w:fldChar w:fldCharType="end"/>
        </w:r>
      </w:p>
      <w:p w14:paraId="3DBE57CA" w14:textId="77777777" w:rsidR="00F7141A" w:rsidRPr="00F7141A" w:rsidRDefault="00F7141A" w:rsidP="00F7141A">
        <w:pPr>
          <w:pStyle w:val="Fuzeile"/>
          <w:rPr>
            <w:rFonts w:ascii="Arial Narrow" w:hAnsi="Arial Narrow"/>
            <w:color w:val="000000" w:themeColor="text1"/>
            <w:sz w:val="22"/>
            <w:szCs w:val="22"/>
          </w:rPr>
        </w:pPr>
        <w:r w:rsidRPr="00F7141A">
          <w:rPr>
            <w:rFonts w:ascii="Arial Narrow" w:hAnsi="Arial Narrow"/>
            <w:sz w:val="22"/>
            <w:szCs w:val="22"/>
          </w:rPr>
          <w:t>Finale Version 05.10.2024</w:t>
        </w:r>
      </w:p>
      <w:p w14:paraId="61C6D596" w14:textId="14C46DC7" w:rsidR="00231CBC" w:rsidRPr="002C298D" w:rsidRDefault="00F7141A" w:rsidP="00F7141A">
        <w:pPr>
          <w:pStyle w:val="Fuzeile"/>
          <w:rPr>
            <w:rFonts w:asciiTheme="minorBidi" w:hAnsiTheme="minorBidi"/>
            <w:sz w:val="20"/>
            <w:szCs w:val="20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8449F" w14:textId="77777777" w:rsidR="0095172A" w:rsidRDefault="009517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FA47" w14:textId="77777777" w:rsidR="0038396C" w:rsidRDefault="0038396C">
      <w:r>
        <w:separator/>
      </w:r>
    </w:p>
  </w:footnote>
  <w:footnote w:type="continuationSeparator" w:id="0">
    <w:p w14:paraId="692A40A8" w14:textId="77777777" w:rsidR="0038396C" w:rsidRDefault="0038396C">
      <w:r>
        <w:continuationSeparator/>
      </w:r>
    </w:p>
  </w:footnote>
  <w:footnote w:type="continuationNotice" w:id="1">
    <w:p w14:paraId="25DAAACC" w14:textId="77777777" w:rsidR="0038396C" w:rsidRDefault="00383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3CF8" w14:textId="77777777" w:rsidR="0095172A" w:rsidRDefault="009517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49C1" w14:textId="0D7BEB2F" w:rsidR="00231CBC" w:rsidRPr="00F7328D" w:rsidRDefault="00231CBC" w:rsidP="00231CBC">
    <w:pPr>
      <w:pStyle w:val="Kopfzeile"/>
      <w:tabs>
        <w:tab w:val="clear" w:pos="4536"/>
        <w:tab w:val="clear" w:pos="9072"/>
      </w:tabs>
      <w:jc w:val="both"/>
      <w:rPr>
        <w:rFonts w:asciiTheme="minorBidi" w:hAnsiTheme="minorBidi"/>
        <w:b/>
      </w:rPr>
    </w:pPr>
    <w:r w:rsidRPr="00F7328D">
      <w:rPr>
        <w:rFonts w:asciiTheme="minorBidi" w:hAnsiTheme="minorBidi"/>
        <w:b/>
      </w:rPr>
      <w:t>NUB Antrag 202</w:t>
    </w:r>
    <w:r w:rsidR="00F32F43">
      <w:rPr>
        <w:rFonts w:asciiTheme="minorBidi" w:hAnsiTheme="minorBidi"/>
        <w:b/>
      </w:rPr>
      <w:t>4</w:t>
    </w:r>
    <w:r w:rsidRPr="00F7328D">
      <w:rPr>
        <w:rFonts w:asciiTheme="minorBidi" w:hAnsiTheme="minorBidi"/>
        <w:b/>
      </w:rPr>
      <w:t>/202</w:t>
    </w:r>
    <w:r w:rsidR="00F32F43">
      <w:rPr>
        <w:rFonts w:asciiTheme="minorBidi" w:hAnsiTheme="minorBidi"/>
        <w:b/>
      </w:rPr>
      <w:t>5</w:t>
    </w:r>
  </w:p>
  <w:p w14:paraId="7E4A2C6A" w14:textId="77777777" w:rsidR="00231CBC" w:rsidRDefault="00231CBC" w:rsidP="00231CBC">
    <w:pPr>
      <w:pStyle w:val="Kopfzeile"/>
      <w:rPr>
        <w:rFonts w:asciiTheme="minorBidi" w:hAnsiTheme="minorBidi"/>
        <w:b/>
      </w:rPr>
    </w:pPr>
  </w:p>
  <w:p w14:paraId="59463981" w14:textId="186EE061" w:rsidR="00231CBC" w:rsidRDefault="00B86C0C" w:rsidP="00231CBC">
    <w:pPr>
      <w:pStyle w:val="Kopfzeile"/>
    </w:pPr>
    <w:proofErr w:type="spellStart"/>
    <w:r>
      <w:rPr>
        <w:rFonts w:asciiTheme="minorBidi" w:hAnsiTheme="minorBidi"/>
        <w:b/>
      </w:rPr>
      <w:t>Ruxolitinib</w:t>
    </w:r>
    <w:proofErr w:type="spellEnd"/>
  </w:p>
  <w:p w14:paraId="38DF28C4" w14:textId="77777777" w:rsidR="00F64982" w:rsidRDefault="00F649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97F3B" w14:textId="77777777" w:rsidR="0095172A" w:rsidRDefault="00951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8319E3"/>
    <w:multiLevelType w:val="hybridMultilevel"/>
    <w:tmpl w:val="EC38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15BCA"/>
    <w:rsid w:val="00024651"/>
    <w:rsid w:val="0004094A"/>
    <w:rsid w:val="00044597"/>
    <w:rsid w:val="00065A38"/>
    <w:rsid w:val="00072A33"/>
    <w:rsid w:val="000953D2"/>
    <w:rsid w:val="000C704A"/>
    <w:rsid w:val="000D411F"/>
    <w:rsid w:val="000D615D"/>
    <w:rsid w:val="000F3635"/>
    <w:rsid w:val="00104C97"/>
    <w:rsid w:val="00112F99"/>
    <w:rsid w:val="001419B0"/>
    <w:rsid w:val="00156FE0"/>
    <w:rsid w:val="00174C6A"/>
    <w:rsid w:val="001774E7"/>
    <w:rsid w:val="001812EC"/>
    <w:rsid w:val="00181617"/>
    <w:rsid w:val="001A7AC7"/>
    <w:rsid w:val="001F4753"/>
    <w:rsid w:val="002005AF"/>
    <w:rsid w:val="00225AF5"/>
    <w:rsid w:val="00231CBC"/>
    <w:rsid w:val="002333FF"/>
    <w:rsid w:val="00234FB1"/>
    <w:rsid w:val="00256B7C"/>
    <w:rsid w:val="00270D8D"/>
    <w:rsid w:val="0028432D"/>
    <w:rsid w:val="00285AE4"/>
    <w:rsid w:val="002C298D"/>
    <w:rsid w:val="002D7403"/>
    <w:rsid w:val="002E5E26"/>
    <w:rsid w:val="00305016"/>
    <w:rsid w:val="003479E5"/>
    <w:rsid w:val="0036178C"/>
    <w:rsid w:val="0036325A"/>
    <w:rsid w:val="0038396C"/>
    <w:rsid w:val="003A4F4E"/>
    <w:rsid w:val="003B2E05"/>
    <w:rsid w:val="003B3FB7"/>
    <w:rsid w:val="003B534C"/>
    <w:rsid w:val="003F2692"/>
    <w:rsid w:val="0040610F"/>
    <w:rsid w:val="0041156E"/>
    <w:rsid w:val="0042640C"/>
    <w:rsid w:val="00435583"/>
    <w:rsid w:val="00454847"/>
    <w:rsid w:val="0046301A"/>
    <w:rsid w:val="004635A1"/>
    <w:rsid w:val="004642E2"/>
    <w:rsid w:val="00467246"/>
    <w:rsid w:val="00492AB4"/>
    <w:rsid w:val="00494C0F"/>
    <w:rsid w:val="004A2D4E"/>
    <w:rsid w:val="004A5FB0"/>
    <w:rsid w:val="004B3438"/>
    <w:rsid w:val="004B624B"/>
    <w:rsid w:val="004B6C59"/>
    <w:rsid w:val="004B71EB"/>
    <w:rsid w:val="004C4F82"/>
    <w:rsid w:val="004E1D02"/>
    <w:rsid w:val="00504FB4"/>
    <w:rsid w:val="0050526A"/>
    <w:rsid w:val="005125E9"/>
    <w:rsid w:val="00541B64"/>
    <w:rsid w:val="005524BC"/>
    <w:rsid w:val="005530A6"/>
    <w:rsid w:val="005638EB"/>
    <w:rsid w:val="0057537C"/>
    <w:rsid w:val="00596F9A"/>
    <w:rsid w:val="005B620C"/>
    <w:rsid w:val="005E7628"/>
    <w:rsid w:val="005F29C6"/>
    <w:rsid w:val="005F4D2E"/>
    <w:rsid w:val="005F4FCF"/>
    <w:rsid w:val="00612463"/>
    <w:rsid w:val="00620855"/>
    <w:rsid w:val="006354B6"/>
    <w:rsid w:val="006451B6"/>
    <w:rsid w:val="006549F4"/>
    <w:rsid w:val="00664E69"/>
    <w:rsid w:val="00681EC4"/>
    <w:rsid w:val="006935F8"/>
    <w:rsid w:val="006C656D"/>
    <w:rsid w:val="006C7EC8"/>
    <w:rsid w:val="006F720E"/>
    <w:rsid w:val="006F7F69"/>
    <w:rsid w:val="007600D1"/>
    <w:rsid w:val="0078272D"/>
    <w:rsid w:val="007A314E"/>
    <w:rsid w:val="007A6F09"/>
    <w:rsid w:val="007D4B30"/>
    <w:rsid w:val="007F0381"/>
    <w:rsid w:val="007F255B"/>
    <w:rsid w:val="00802EF7"/>
    <w:rsid w:val="00804F14"/>
    <w:rsid w:val="0080511D"/>
    <w:rsid w:val="00807564"/>
    <w:rsid w:val="00816924"/>
    <w:rsid w:val="00824675"/>
    <w:rsid w:val="00843507"/>
    <w:rsid w:val="00850D44"/>
    <w:rsid w:val="00890BC2"/>
    <w:rsid w:val="008B17D8"/>
    <w:rsid w:val="008B38C2"/>
    <w:rsid w:val="008B4504"/>
    <w:rsid w:val="008B7669"/>
    <w:rsid w:val="008C1686"/>
    <w:rsid w:val="008D12DD"/>
    <w:rsid w:val="008E6675"/>
    <w:rsid w:val="00900E00"/>
    <w:rsid w:val="00925542"/>
    <w:rsid w:val="0095172A"/>
    <w:rsid w:val="009545AF"/>
    <w:rsid w:val="00983554"/>
    <w:rsid w:val="009B1C7E"/>
    <w:rsid w:val="009C0B84"/>
    <w:rsid w:val="009C144E"/>
    <w:rsid w:val="009D7CA8"/>
    <w:rsid w:val="009E60A3"/>
    <w:rsid w:val="00A00CCB"/>
    <w:rsid w:val="00A100DC"/>
    <w:rsid w:val="00A2016B"/>
    <w:rsid w:val="00A21E9E"/>
    <w:rsid w:val="00A233B0"/>
    <w:rsid w:val="00A345A9"/>
    <w:rsid w:val="00A43812"/>
    <w:rsid w:val="00A530BE"/>
    <w:rsid w:val="00A93AAD"/>
    <w:rsid w:val="00AA6B4F"/>
    <w:rsid w:val="00AB10BF"/>
    <w:rsid w:val="00AE4C49"/>
    <w:rsid w:val="00B03A61"/>
    <w:rsid w:val="00B574E9"/>
    <w:rsid w:val="00B6570D"/>
    <w:rsid w:val="00B773B8"/>
    <w:rsid w:val="00B8615B"/>
    <w:rsid w:val="00B86C0C"/>
    <w:rsid w:val="00BA6044"/>
    <w:rsid w:val="00BB4A54"/>
    <w:rsid w:val="00BC3D19"/>
    <w:rsid w:val="00BC4042"/>
    <w:rsid w:val="00BE3979"/>
    <w:rsid w:val="00BF11AE"/>
    <w:rsid w:val="00C112A6"/>
    <w:rsid w:val="00C11458"/>
    <w:rsid w:val="00C21654"/>
    <w:rsid w:val="00C35BFE"/>
    <w:rsid w:val="00C52608"/>
    <w:rsid w:val="00C676EE"/>
    <w:rsid w:val="00CA7886"/>
    <w:rsid w:val="00CB1DA5"/>
    <w:rsid w:val="00CB3CA3"/>
    <w:rsid w:val="00CB7E53"/>
    <w:rsid w:val="00CC7E5F"/>
    <w:rsid w:val="00CD2365"/>
    <w:rsid w:val="00CD5EBA"/>
    <w:rsid w:val="00CE69F3"/>
    <w:rsid w:val="00CF56C3"/>
    <w:rsid w:val="00CF5ECC"/>
    <w:rsid w:val="00D14350"/>
    <w:rsid w:val="00D216BD"/>
    <w:rsid w:val="00D21A79"/>
    <w:rsid w:val="00D41422"/>
    <w:rsid w:val="00D61CDF"/>
    <w:rsid w:val="00D662EF"/>
    <w:rsid w:val="00D74AC7"/>
    <w:rsid w:val="00D87B96"/>
    <w:rsid w:val="00D9586E"/>
    <w:rsid w:val="00DB14F4"/>
    <w:rsid w:val="00DB4789"/>
    <w:rsid w:val="00DC041E"/>
    <w:rsid w:val="00DC6CBD"/>
    <w:rsid w:val="00DE0DAA"/>
    <w:rsid w:val="00DF01F8"/>
    <w:rsid w:val="00DF3569"/>
    <w:rsid w:val="00E24E3B"/>
    <w:rsid w:val="00E477C8"/>
    <w:rsid w:val="00E53F75"/>
    <w:rsid w:val="00E86725"/>
    <w:rsid w:val="00E90B5F"/>
    <w:rsid w:val="00E9243F"/>
    <w:rsid w:val="00E92C57"/>
    <w:rsid w:val="00EC0987"/>
    <w:rsid w:val="00ED3724"/>
    <w:rsid w:val="00ED4386"/>
    <w:rsid w:val="00ED79AA"/>
    <w:rsid w:val="00EE0D0B"/>
    <w:rsid w:val="00EE1581"/>
    <w:rsid w:val="00EE5875"/>
    <w:rsid w:val="00F000AA"/>
    <w:rsid w:val="00F233AA"/>
    <w:rsid w:val="00F32F43"/>
    <w:rsid w:val="00F4497A"/>
    <w:rsid w:val="00F64982"/>
    <w:rsid w:val="00F708D3"/>
    <w:rsid w:val="00F7141A"/>
    <w:rsid w:val="00F91167"/>
    <w:rsid w:val="00F979D5"/>
    <w:rsid w:val="00FA6FC5"/>
    <w:rsid w:val="00FB46A5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DD2B15E6-1587-457F-9084-E428BC03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paragraph" w:customStyle="1" w:styleId="Default">
    <w:name w:val="Default"/>
    <w:rsid w:val="004B7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08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08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08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08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08D3"/>
    <w:rPr>
      <w:b/>
      <w:bCs/>
      <w:sz w:val="20"/>
      <w:szCs w:val="20"/>
    </w:rPr>
  </w:style>
  <w:style w:type="character" w:customStyle="1" w:styleId="Aufzaehl1Zchn">
    <w:name w:val="Aufzaehl1 Zchn"/>
    <w:link w:val="Aufzaehl1"/>
    <w:locked/>
    <w:rsid w:val="00231CBC"/>
    <w:rPr>
      <w:rFonts w:ascii="Calibri" w:hAnsi="Calibri" w:cs="Calibri"/>
    </w:rPr>
  </w:style>
  <w:style w:type="paragraph" w:customStyle="1" w:styleId="Aufzaehl1">
    <w:name w:val="Aufzaehl1"/>
    <w:basedOn w:val="Textkrper-Zeileneinzug"/>
    <w:link w:val="Aufzaehl1Zchn"/>
    <w:qFormat/>
    <w:rsid w:val="00231CBC"/>
    <w:pPr>
      <w:tabs>
        <w:tab w:val="left" w:pos="0"/>
        <w:tab w:val="num" w:pos="720"/>
      </w:tabs>
      <w:spacing w:after="0" w:line="259" w:lineRule="auto"/>
      <w:ind w:left="360" w:hanging="360"/>
    </w:pPr>
    <w:rPr>
      <w:rFonts w:ascii="Calibri" w:hAnsi="Calibri" w:cs="Calibri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31C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31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8" ma:contentTypeDescription="Ein neues Dokument erstellen." ma:contentTypeScope="" ma:versionID="a8ceee5021ec60157ed8cfb3ebd1da00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daa98171ff53e2ba5141d75d7d12b4e0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e5f548-56ee-4e65-a752-e1a6909e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6a1ee-5f8f-424b-ad6a-196271723ecd}" ma:internalName="TaxCatchAll" ma:showField="CatchAllData" ma:web="68ba53c9-060a-46d7-984d-6df78a3a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9B087-F28A-4C38-8667-3581BD5FE364}"/>
</file>

<file path=customXml/itemProps2.xml><?xml version="1.0" encoding="utf-8"?>
<ds:datastoreItem xmlns:ds="http://schemas.openxmlformats.org/officeDocument/2006/customXml" ds:itemID="{D7C600B2-8471-429E-BA06-062EBCDAD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5</cp:revision>
  <cp:lastPrinted>2012-10-09T15:17:00Z</cp:lastPrinted>
  <dcterms:created xsi:type="dcterms:W3CDTF">2024-10-07T13:21:00Z</dcterms:created>
  <dcterms:modified xsi:type="dcterms:W3CDTF">2024-10-08T13:09:00Z</dcterms:modified>
</cp:coreProperties>
</file>